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C534A8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C534A8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C534A8" w:rsidRDefault="00021E09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C534A8">
        <w:rPr>
          <w:rFonts w:ascii="Calibri" w:hAnsi="Calibri" w:cs="Calibri"/>
          <w:b/>
          <w:color w:val="auto"/>
          <w:sz w:val="20"/>
          <w:lang w:val="pl-PL"/>
        </w:rPr>
        <w:t>Luty</w:t>
      </w:r>
      <w:r w:rsidR="00A2668A" w:rsidRPr="00C534A8">
        <w:rPr>
          <w:rFonts w:ascii="Calibri" w:hAnsi="Calibri" w:cs="Calibri"/>
          <w:b/>
          <w:color w:val="auto"/>
          <w:sz w:val="20"/>
          <w:lang w:val="pl-PL"/>
        </w:rPr>
        <w:t xml:space="preserve"> </w:t>
      </w:r>
      <w:r w:rsidR="00CC12E2" w:rsidRPr="00C534A8">
        <w:rPr>
          <w:rFonts w:ascii="Calibri" w:hAnsi="Calibri" w:cs="Calibri"/>
          <w:b/>
          <w:color w:val="auto"/>
          <w:sz w:val="20"/>
          <w:lang w:val="pl-PL"/>
        </w:rPr>
        <w:t>2021</w:t>
      </w:r>
    </w:p>
    <w:p w:rsidR="007F2036" w:rsidRPr="00C534A8" w:rsidRDefault="00D40CB6" w:rsidP="00A74B28">
      <w:pPr>
        <w:spacing w:after="0" w:line="276" w:lineRule="auto"/>
        <w:jc w:val="both"/>
        <w:rPr>
          <w:rFonts w:ascii="Calibri" w:hAnsi="Calibri" w:cs="Calibri"/>
          <w:lang w:val="pl-PL"/>
        </w:rPr>
      </w:pPr>
      <w:r w:rsidRPr="00C534A8">
        <w:rPr>
          <w:rFonts w:ascii="Calibri" w:hAnsi="Calibri" w:cs="Calibri"/>
          <w:lang w:val="pl-PL"/>
        </w:rPr>
        <w:tab/>
      </w:r>
      <w:r w:rsidRPr="00C534A8">
        <w:rPr>
          <w:rFonts w:ascii="Calibri" w:hAnsi="Calibri" w:cs="Calibri"/>
          <w:lang w:val="pl-PL"/>
        </w:rPr>
        <w:tab/>
      </w:r>
      <w:r w:rsidRPr="00C534A8">
        <w:rPr>
          <w:rFonts w:ascii="Calibri" w:hAnsi="Calibri" w:cs="Calibri"/>
          <w:lang w:val="pl-PL"/>
        </w:rPr>
        <w:tab/>
      </w:r>
      <w:r w:rsidRPr="00C534A8">
        <w:rPr>
          <w:rFonts w:ascii="Calibri" w:hAnsi="Calibri" w:cs="Calibri"/>
          <w:lang w:val="pl-PL"/>
        </w:rPr>
        <w:tab/>
      </w:r>
      <w:r w:rsidRPr="00C534A8">
        <w:rPr>
          <w:rFonts w:ascii="Calibri" w:hAnsi="Calibri" w:cs="Calibri"/>
          <w:lang w:val="pl-PL"/>
        </w:rPr>
        <w:tab/>
        <w:t xml:space="preserve">        </w:t>
      </w:r>
    </w:p>
    <w:p w:rsidR="00A74B28" w:rsidRPr="00C534A8" w:rsidRDefault="00A74B28" w:rsidP="00A74B28">
      <w:pPr>
        <w:spacing w:after="0" w:line="276" w:lineRule="auto"/>
        <w:jc w:val="both"/>
        <w:rPr>
          <w:rFonts w:ascii="Calibri" w:hAnsi="Calibri" w:cs="Calibri"/>
          <w:lang w:val="pl-PL"/>
        </w:rPr>
      </w:pPr>
    </w:p>
    <w:p w:rsidR="007A5F19" w:rsidRPr="00C534A8" w:rsidRDefault="00C71DA6" w:rsidP="00092C08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  <w:r w:rsidRPr="00C71DA6">
        <w:rPr>
          <w:rFonts w:ascii="Calibri" w:hAnsi="Calibri" w:cs="Calibr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986ACB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531F6E">
                          <w:rPr>
                            <w:lang w:val="pl-PL"/>
                          </w:rPr>
                          <w:t xml:space="preserve">483,7 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F7277C">
                          <w:rPr>
                            <w:lang w:val="pl-PL"/>
                          </w:rPr>
                          <w:t>5,9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535333">
                          <w:rPr>
                            <w:lang w:val="pl-PL"/>
                          </w:rPr>
                          <w:t>5.</w:t>
                        </w:r>
                        <w:r w:rsidR="00092C08">
                          <w:rPr>
                            <w:lang w:val="pl-PL"/>
                          </w:rPr>
                          <w:t>68</w:t>
                        </w:r>
                        <w:r w:rsidR="00535333">
                          <w:rPr>
                            <w:lang w:val="pl-PL"/>
                          </w:rPr>
                          <w:t>4,40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6B6907">
                          <w:rPr>
                            <w:lang w:val="pl-PL"/>
                          </w:rPr>
                          <w:t>108,7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AE27FB">
                          <w:rPr>
                            <w:lang w:val="pl-PL"/>
                          </w:rPr>
                          <w:t>):</w:t>
                        </w:r>
                        <w:r w:rsidR="003E75C8">
                          <w:rPr>
                            <w:lang w:val="pl-PL"/>
                          </w:rPr>
                          <w:t>104,7</w:t>
                        </w:r>
                      </w:p>
                      <w:p w:rsidR="00E5529B" w:rsidRPr="002A36E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 w:rsidRPr="002A36EF">
                          <w:rPr>
                            <w:lang w:val="pl-PL"/>
                          </w:rPr>
                          <w:t>Podmioty gospodarcze:</w:t>
                        </w:r>
                        <w:r w:rsidR="00062A33" w:rsidRPr="002A36EF">
                          <w:rPr>
                            <w:lang w:val="pl-PL"/>
                          </w:rPr>
                          <w:t xml:space="preserve"> </w:t>
                        </w:r>
                        <w:r w:rsidR="00EA3311" w:rsidRPr="002A36EF">
                          <w:rPr>
                            <w:lang w:val="pl-PL"/>
                          </w:rPr>
                          <w:br/>
                        </w:r>
                        <w:r w:rsidR="003E75C8" w:rsidRPr="002A36EF">
                          <w:rPr>
                            <w:rFonts w:eastAsia="Georgia" w:cs="Times New Roman"/>
                            <w:color w:val="FFFFFF"/>
                            <w:szCs w:val="22"/>
                            <w:lang w:val="pl-PL"/>
                          </w:rPr>
                          <w:t>397</w:t>
                        </w:r>
                        <w:r w:rsidR="003E75C8" w:rsidRPr="002A36EF">
                          <w:rPr>
                            <w:szCs w:val="22"/>
                            <w:lang w:val="pl-PL"/>
                          </w:rPr>
                          <w:t>,4</w:t>
                        </w:r>
                        <w:r w:rsidR="00BB3D69" w:rsidRPr="002A36EF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986ACB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986ACB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C534A8">
        <w:rPr>
          <w:rFonts w:ascii="Calibri" w:hAnsi="Calibri" w:cs="Calibri"/>
          <w:b/>
          <w:color w:val="auto"/>
          <w:lang w:val="pl-PL"/>
        </w:rPr>
        <w:t>Zatrudnienie</w:t>
      </w:r>
      <w:r w:rsidR="00601604" w:rsidRPr="00C534A8">
        <w:rPr>
          <w:rFonts w:ascii="Calibri" w:hAnsi="Calibri" w:cs="Calibri"/>
          <w:b/>
          <w:color w:val="auto"/>
          <w:lang w:val="pl-PL"/>
        </w:rPr>
        <w:t xml:space="preserve">: </w:t>
      </w:r>
    </w:p>
    <w:p w:rsidR="00401AAB" w:rsidRPr="00C534A8" w:rsidRDefault="00401AAB" w:rsidP="00092C08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F97EA0" w:rsidRPr="00C534A8" w:rsidRDefault="00401AAB" w:rsidP="00F97EA0">
      <w:pPr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  <w:r w:rsidRPr="00C534A8">
        <w:rPr>
          <w:rFonts w:ascii="Calibri" w:hAnsi="Calibri" w:cs="Calibri"/>
          <w:color w:val="auto"/>
          <w:u w:val="single"/>
          <w:lang w:val="pl-PL"/>
        </w:rPr>
        <w:t>Przeciętne zatrudnienie w sek</w:t>
      </w:r>
      <w:r w:rsidR="004F126C" w:rsidRPr="00C534A8">
        <w:rPr>
          <w:rFonts w:ascii="Calibri" w:hAnsi="Calibri" w:cs="Calibri"/>
          <w:color w:val="auto"/>
          <w:u w:val="single"/>
          <w:lang w:val="pl-PL"/>
        </w:rPr>
        <w:t>torze przedsiębiorstw w lutym 2021r. było niższe o 2,1</w:t>
      </w:r>
      <w:r w:rsidRPr="00C534A8">
        <w:rPr>
          <w:rFonts w:ascii="Calibri" w:hAnsi="Calibri" w:cs="Calibri"/>
          <w:color w:val="auto"/>
          <w:u w:val="single"/>
          <w:lang w:val="pl-PL"/>
        </w:rPr>
        <w:t>% niż w</w:t>
      </w:r>
      <w:r w:rsidR="00DA476A" w:rsidRPr="00C534A8">
        <w:rPr>
          <w:rFonts w:ascii="Calibri" w:hAnsi="Calibri" w:cs="Calibri"/>
          <w:color w:val="auto"/>
          <w:u w:val="single"/>
          <w:lang w:val="pl-PL"/>
        </w:rPr>
        <w:t xml:space="preserve"> lutym </w:t>
      </w:r>
      <w:r w:rsidRPr="00C534A8">
        <w:rPr>
          <w:rFonts w:ascii="Calibri" w:hAnsi="Calibri" w:cs="Calibri"/>
          <w:color w:val="auto"/>
          <w:u w:val="single"/>
          <w:lang w:val="pl-PL"/>
        </w:rPr>
        <w:t>2020 r.</w:t>
      </w:r>
    </w:p>
    <w:p w:rsidR="00F97EA0" w:rsidRPr="00C534A8" w:rsidRDefault="00253E47" w:rsidP="00F97EA0">
      <w:pPr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>Spadek przeciętn</w:t>
      </w:r>
      <w:r w:rsidR="004F126C" w:rsidRPr="00C534A8">
        <w:rPr>
          <w:rFonts w:ascii="Calibri" w:hAnsi="Calibri" w:cs="Calibri"/>
          <w:color w:val="auto"/>
          <w:lang w:val="pl-PL"/>
        </w:rPr>
        <w:t>ego zatrudnienia odnotowano w 11</w:t>
      </w:r>
      <w:r w:rsidR="00CC12E2" w:rsidRPr="00C534A8">
        <w:rPr>
          <w:rFonts w:ascii="Calibri" w:hAnsi="Calibri" w:cs="Calibri"/>
          <w:color w:val="auto"/>
          <w:lang w:val="pl-PL"/>
        </w:rPr>
        <w:t xml:space="preserve"> </w:t>
      </w:r>
      <w:r w:rsidRPr="00C534A8">
        <w:rPr>
          <w:rFonts w:ascii="Calibri" w:hAnsi="Calibri" w:cs="Calibri"/>
          <w:color w:val="auto"/>
          <w:lang w:val="pl-PL"/>
        </w:rPr>
        <w:t xml:space="preserve"> sekcjach, w tym największy w zak</w:t>
      </w:r>
      <w:r w:rsidR="004F126C" w:rsidRPr="00C534A8">
        <w:rPr>
          <w:rFonts w:ascii="Calibri" w:hAnsi="Calibri" w:cs="Calibri"/>
          <w:color w:val="auto"/>
          <w:lang w:val="pl-PL"/>
        </w:rPr>
        <w:t>waterowaniu i gastronomii (o 15</w:t>
      </w:r>
      <w:r w:rsidR="00CC12E2" w:rsidRPr="00C534A8">
        <w:rPr>
          <w:rFonts w:ascii="Calibri" w:hAnsi="Calibri" w:cs="Calibri"/>
          <w:color w:val="auto"/>
          <w:lang w:val="pl-PL"/>
        </w:rPr>
        <w:t>,0</w:t>
      </w:r>
      <w:r w:rsidR="00401AAB" w:rsidRPr="00C534A8">
        <w:rPr>
          <w:rFonts w:ascii="Calibri" w:hAnsi="Calibri" w:cs="Calibri"/>
          <w:color w:val="auto"/>
          <w:lang w:val="pl-PL"/>
        </w:rPr>
        <w:t>%)</w:t>
      </w:r>
      <w:r w:rsidR="004F126C" w:rsidRPr="00C534A8">
        <w:rPr>
          <w:rFonts w:ascii="Calibri" w:hAnsi="Calibri" w:cs="Calibri"/>
          <w:color w:val="auto"/>
          <w:lang w:val="pl-PL"/>
        </w:rPr>
        <w:t>.</w:t>
      </w:r>
      <w:r w:rsidR="00F97EA0" w:rsidRPr="00C534A8">
        <w:rPr>
          <w:rFonts w:ascii="Calibri" w:hAnsi="Calibri" w:cs="Calibri"/>
          <w:color w:val="auto"/>
          <w:lang w:val="pl-PL"/>
        </w:rPr>
        <w:t xml:space="preserve"> W 3 sekcjach zatrudnienie zwiększyło się, w tym najbardziej w informacji i komunikacji</w:t>
      </w:r>
      <w:r w:rsidR="00F97EA0" w:rsidRPr="00C534A8">
        <w:rPr>
          <w:rFonts w:ascii="Calibri" w:hAnsi="Calibri" w:cs="Calibri"/>
          <w:color w:val="auto"/>
          <w:lang w:val="pl-PL"/>
        </w:rPr>
        <w:br/>
        <w:t>(o 2,</w:t>
      </w:r>
      <w:r w:rsidR="004D2680" w:rsidRPr="00C534A8">
        <w:rPr>
          <w:rFonts w:ascii="Calibri" w:hAnsi="Calibri" w:cs="Calibri"/>
          <w:color w:val="auto"/>
          <w:lang w:val="pl-PL"/>
        </w:rPr>
        <w:t>6</w:t>
      </w:r>
      <w:r w:rsidR="00F97EA0" w:rsidRPr="00C534A8">
        <w:rPr>
          <w:rFonts w:ascii="Calibri" w:hAnsi="Calibri" w:cs="Calibri"/>
          <w:color w:val="auto"/>
          <w:lang w:val="pl-PL"/>
        </w:rPr>
        <w:t>%)</w:t>
      </w:r>
      <w:r w:rsidR="004D2680" w:rsidRPr="00C534A8">
        <w:rPr>
          <w:rFonts w:ascii="Calibri" w:hAnsi="Calibri" w:cs="Calibri"/>
          <w:color w:val="auto"/>
          <w:lang w:val="pl-PL"/>
        </w:rPr>
        <w:t>.</w:t>
      </w:r>
    </w:p>
    <w:p w:rsidR="004D2680" w:rsidRPr="00C534A8" w:rsidRDefault="00401AAB" w:rsidP="004D2680">
      <w:pPr>
        <w:spacing w:after="0" w:line="276" w:lineRule="auto"/>
        <w:jc w:val="both"/>
        <w:rPr>
          <w:rFonts w:ascii="Calibri" w:hAnsi="Calibri" w:cs="Calibri"/>
          <w:shd w:val="clear" w:color="auto" w:fill="FFFFFF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 xml:space="preserve">W kraju przeciętne zatrudnienie w sektorze przedsiębiorstw w </w:t>
      </w:r>
      <w:r w:rsidR="004D2680" w:rsidRPr="00C534A8">
        <w:rPr>
          <w:rFonts w:ascii="Calibri" w:hAnsi="Calibri" w:cs="Calibri"/>
          <w:color w:val="auto"/>
          <w:lang w:val="pl-PL"/>
        </w:rPr>
        <w:t>skali roku zmniejszyło się o 1,7</w:t>
      </w:r>
      <w:r w:rsidRPr="00C534A8">
        <w:rPr>
          <w:rFonts w:ascii="Calibri" w:hAnsi="Calibri" w:cs="Calibri"/>
          <w:color w:val="auto"/>
          <w:lang w:val="pl-PL"/>
        </w:rPr>
        <w:t>%.</w:t>
      </w:r>
      <w:r w:rsidR="00F97EA0" w:rsidRPr="00C534A8">
        <w:rPr>
          <w:rFonts w:ascii="Calibri" w:hAnsi="Calibri" w:cs="Calibri"/>
          <w:shd w:val="clear" w:color="auto" w:fill="FFFFFF"/>
          <w:lang w:val="pl-PL"/>
        </w:rPr>
        <w:t xml:space="preserve"> </w:t>
      </w:r>
    </w:p>
    <w:p w:rsidR="004D2680" w:rsidRPr="00C534A8" w:rsidRDefault="004D2680" w:rsidP="004D2680">
      <w:pPr>
        <w:spacing w:after="0" w:line="276" w:lineRule="auto"/>
        <w:jc w:val="both"/>
        <w:rPr>
          <w:rFonts w:ascii="Calibri" w:hAnsi="Calibri" w:cs="Calibri"/>
          <w:shd w:val="clear" w:color="auto" w:fill="FFFFFF"/>
          <w:lang w:val="pl-PL"/>
        </w:rPr>
      </w:pPr>
    </w:p>
    <w:p w:rsidR="004D2680" w:rsidRPr="00C534A8" w:rsidRDefault="004D2680" w:rsidP="004D2680">
      <w:pPr>
        <w:spacing w:after="0" w:line="276" w:lineRule="auto"/>
        <w:jc w:val="both"/>
        <w:rPr>
          <w:rFonts w:ascii="Calibri" w:hAnsi="Calibri" w:cs="Calibri"/>
          <w:color w:val="auto"/>
          <w:shd w:val="clear" w:color="auto" w:fill="FFFFFF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 xml:space="preserve">W odniesieniu do stycznia br. przeciętne zatrudnienie zwiększyło się o 0,4%. Wzrost odnotowano w 9 sekcjach, w tym największy w </w:t>
      </w:r>
      <w:r w:rsidRPr="00C534A8">
        <w:rPr>
          <w:rFonts w:ascii="Calibri" w:hAnsi="Calibri" w:cs="Calibri"/>
          <w:color w:val="auto"/>
          <w:shd w:val="clear" w:color="auto" w:fill="FFFFFF"/>
          <w:lang w:val="pl-PL"/>
        </w:rPr>
        <w:t>zakwaterowaniu i gastronomii</w:t>
      </w:r>
      <w:r w:rsidRPr="00C534A8">
        <w:rPr>
          <w:rFonts w:ascii="Calibri" w:hAnsi="Calibri" w:cs="Calibri"/>
          <w:color w:val="auto"/>
          <w:lang w:val="pl-PL"/>
        </w:rPr>
        <w:t xml:space="preserve"> (o 2,0%). Spadek przeciętnego zatrudnienia odnotowano w 3 sekcjach, w tym największy w </w:t>
      </w:r>
      <w:r w:rsidRPr="00C534A8">
        <w:rPr>
          <w:rFonts w:ascii="Calibri" w:hAnsi="Calibri" w:cs="Calibri"/>
          <w:color w:val="auto"/>
          <w:shd w:val="clear" w:color="auto" w:fill="FFFFFF"/>
          <w:lang w:val="pl-PL"/>
        </w:rPr>
        <w:t xml:space="preserve">pozostałej działalności usługowej </w:t>
      </w:r>
      <w:r w:rsidRPr="00C534A8">
        <w:rPr>
          <w:rFonts w:ascii="Calibri" w:hAnsi="Calibri" w:cs="Calibri"/>
          <w:color w:val="auto"/>
          <w:lang w:val="pl-PL"/>
        </w:rPr>
        <w:t xml:space="preserve">(o 0,8%). </w:t>
      </w:r>
    </w:p>
    <w:p w:rsidR="004D2680" w:rsidRPr="00C534A8" w:rsidRDefault="004D2680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E5529B" w:rsidRPr="00C534A8" w:rsidRDefault="008B61B3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  <w:r w:rsidRPr="00C534A8">
        <w:rPr>
          <w:rFonts w:ascii="Calibri" w:hAnsi="Calibri" w:cs="Calibri"/>
          <w:b/>
          <w:color w:val="auto"/>
          <w:lang w:val="pl-PL"/>
        </w:rPr>
        <w:t>Bezrobocie</w:t>
      </w:r>
      <w:r w:rsidR="00601604" w:rsidRPr="00C534A8">
        <w:rPr>
          <w:rFonts w:ascii="Calibri" w:hAnsi="Calibri" w:cs="Calibri"/>
          <w:b/>
          <w:color w:val="auto"/>
          <w:lang w:val="pl-PL"/>
        </w:rPr>
        <w:t>:</w:t>
      </w:r>
    </w:p>
    <w:p w:rsidR="00401AAB" w:rsidRPr="00C534A8" w:rsidRDefault="00401AAB" w:rsidP="00603D04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F7277C" w:rsidRPr="00C534A8" w:rsidRDefault="00AE27FB" w:rsidP="00F7277C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u w:val="single"/>
          <w:lang w:val="pl-PL"/>
        </w:rPr>
        <w:t>Stopa bezrobocia rejestrowa</w:t>
      </w:r>
      <w:r w:rsidR="00AE77D1" w:rsidRPr="00C534A8">
        <w:rPr>
          <w:rFonts w:ascii="Calibri" w:hAnsi="Calibri" w:cs="Calibri"/>
          <w:color w:val="auto"/>
          <w:u w:val="single"/>
          <w:lang w:val="pl-PL"/>
        </w:rPr>
        <w:t>nego w lutym</w:t>
      </w:r>
      <w:r w:rsidR="004D2680" w:rsidRPr="00C534A8">
        <w:rPr>
          <w:rFonts w:ascii="Calibri" w:hAnsi="Calibri" w:cs="Calibri"/>
          <w:color w:val="auto"/>
          <w:u w:val="single"/>
          <w:lang w:val="pl-PL"/>
        </w:rPr>
        <w:t xml:space="preserve"> br. wyniosła 5,9</w:t>
      </w:r>
      <w:r w:rsidRPr="00C534A8">
        <w:rPr>
          <w:rFonts w:ascii="Calibri" w:hAnsi="Calibri" w:cs="Calibri"/>
          <w:color w:val="auto"/>
          <w:u w:val="single"/>
          <w:lang w:val="pl-PL"/>
        </w:rPr>
        <w:t>%,</w:t>
      </w:r>
      <w:r w:rsidRPr="00C534A8">
        <w:rPr>
          <w:rFonts w:ascii="Calibri" w:hAnsi="Calibri" w:cs="Calibri"/>
          <w:color w:val="auto"/>
          <w:lang w:val="pl-PL"/>
        </w:rPr>
        <w:t xml:space="preserve"> </w:t>
      </w:r>
      <w:r w:rsidR="00F7277C" w:rsidRPr="00C534A8">
        <w:rPr>
          <w:rFonts w:ascii="Calibri" w:hAnsi="Calibri" w:cs="Calibri"/>
          <w:color w:val="auto"/>
          <w:lang w:val="pl-PL"/>
        </w:rPr>
        <w:t>w</w:t>
      </w:r>
      <w:r w:rsidR="00F7277C" w:rsidRPr="00C534A8">
        <w:rPr>
          <w:rFonts w:ascii="Calibri" w:hAnsi="Calibri" w:cs="Calibri"/>
          <w:color w:val="auto"/>
          <w:spacing w:val="-4"/>
          <w:lang w:val="pl-PL"/>
        </w:rPr>
        <w:t xml:space="preserve"> ciągu roku wzrosła o 1,0 p.proc., a w ciągu miesiąca o 0,1 p.proc.</w:t>
      </w:r>
      <w:r w:rsidR="00F7277C" w:rsidRPr="00C534A8">
        <w:rPr>
          <w:rFonts w:ascii="Calibri" w:hAnsi="Calibri" w:cs="Calibri"/>
          <w:color w:val="auto"/>
          <w:lang w:val="pl-PL"/>
        </w:rPr>
        <w:t xml:space="preserve"> </w:t>
      </w:r>
    </w:p>
    <w:p w:rsidR="007C71C8" w:rsidRDefault="00F7277C" w:rsidP="007C71C8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>W rankingu województw, dolnośląskie charakteryzowało się relatywnie niską wartością stopy bezrobocia i pod tym względem znajdowało się na 5. mi</w:t>
      </w:r>
      <w:r w:rsidR="00036E82">
        <w:rPr>
          <w:rFonts w:ascii="Calibri" w:hAnsi="Calibri" w:cs="Calibri"/>
          <w:color w:val="auto"/>
          <w:lang w:val="pl-PL"/>
        </w:rPr>
        <w:t>ejscu w kraju (najniższą stopę bezrobocia odnotowano</w:t>
      </w:r>
      <w:r w:rsidRPr="00C534A8">
        <w:rPr>
          <w:rFonts w:ascii="Calibri" w:hAnsi="Calibri" w:cs="Calibri"/>
          <w:color w:val="auto"/>
          <w:lang w:val="pl-PL"/>
        </w:rPr>
        <w:t xml:space="preserve"> </w:t>
      </w:r>
      <w:r w:rsidR="00036E82">
        <w:rPr>
          <w:rFonts w:ascii="Calibri" w:hAnsi="Calibri" w:cs="Calibri"/>
          <w:color w:val="auto"/>
          <w:lang w:val="pl-PL"/>
        </w:rPr>
        <w:t>w woj. wielkopolskim</w:t>
      </w:r>
      <w:r w:rsidRPr="00C534A8">
        <w:rPr>
          <w:rFonts w:ascii="Calibri" w:hAnsi="Calibri" w:cs="Calibri"/>
          <w:color w:val="auto"/>
          <w:lang w:val="pl-PL"/>
        </w:rPr>
        <w:t xml:space="preserve"> </w:t>
      </w:r>
      <w:r w:rsidR="00036E82">
        <w:rPr>
          <w:rFonts w:ascii="Calibri" w:hAnsi="Calibri" w:cs="Calibri"/>
          <w:color w:val="auto"/>
          <w:lang w:val="pl-PL"/>
        </w:rPr>
        <w:t xml:space="preserve">- </w:t>
      </w:r>
      <w:r w:rsidRPr="00C534A8">
        <w:rPr>
          <w:rFonts w:ascii="Calibri" w:hAnsi="Calibri" w:cs="Calibri"/>
          <w:color w:val="auto"/>
          <w:lang w:val="pl-PL"/>
        </w:rPr>
        <w:t>4,0%).</w:t>
      </w:r>
    </w:p>
    <w:p w:rsidR="00986ACB" w:rsidRPr="00986ACB" w:rsidRDefault="00986ACB" w:rsidP="007C71C8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F7277C" w:rsidRPr="00C534A8" w:rsidRDefault="00F7277C" w:rsidP="007C71C8">
      <w:pPr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  <w:r w:rsidRPr="00C534A8">
        <w:rPr>
          <w:rFonts w:ascii="Calibri" w:eastAsia="Calibri" w:hAnsi="Calibri" w:cs="Calibri"/>
          <w:color w:val="auto"/>
          <w:lang w:val="pl-PL"/>
        </w:rPr>
        <w:t xml:space="preserve">Do </w:t>
      </w:r>
      <w:r w:rsidRPr="00C534A8">
        <w:rPr>
          <w:rFonts w:ascii="Calibri" w:hAnsi="Calibri" w:cs="Calibri"/>
          <w:color w:val="auto"/>
          <w:lang w:val="pl-PL"/>
        </w:rPr>
        <w:t xml:space="preserve">powiatów o najwyższej stopie bezrobocia nadal należały: </w:t>
      </w:r>
    </w:p>
    <w:p w:rsidR="00F7277C" w:rsidRPr="00C534A8" w:rsidRDefault="00F7277C" w:rsidP="00F7277C">
      <w:pPr>
        <w:numPr>
          <w:ilvl w:val="0"/>
          <w:numId w:val="5"/>
        </w:numPr>
        <w:spacing w:before="60" w:after="60" w:line="240" w:lineRule="auto"/>
        <w:ind w:left="482" w:hanging="214"/>
        <w:jc w:val="both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>górowski (16,2% wobec 15,2% w lutym 2020 r.),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wałbrzyski (15,7% wobec 13,5%),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złotoryjski (14,1% wobec 13,3%),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kłodzki (13,0% wobec 11,6%),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jaworski (12,4% wobec 11,2%),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14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wołowski (12,1% wobec 11,1%).</w:t>
      </w:r>
    </w:p>
    <w:p w:rsidR="00092C08" w:rsidRPr="00C534A8" w:rsidRDefault="00092C08" w:rsidP="00092C08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F7277C" w:rsidRPr="00C534A8" w:rsidRDefault="00F7277C" w:rsidP="00F7277C">
      <w:pPr>
        <w:spacing w:after="0" w:line="232" w:lineRule="exact"/>
        <w:ind w:firstLine="45"/>
        <w:rPr>
          <w:rFonts w:ascii="Calibri" w:hAnsi="Calibri" w:cs="Calibri"/>
          <w:color w:val="auto"/>
          <w:spacing w:val="-8"/>
          <w:lang w:val="pl-PL"/>
        </w:rPr>
      </w:pPr>
      <w:r w:rsidRPr="00C534A8">
        <w:rPr>
          <w:rFonts w:ascii="Calibri" w:hAnsi="Calibri" w:cs="Calibri"/>
          <w:color w:val="auto"/>
          <w:spacing w:val="-8"/>
          <w:lang w:val="pl-PL"/>
        </w:rPr>
        <w:t>W grupie powiatów o niskiej stopie bezrobocia znalazły się powiaty:</w:t>
      </w:r>
    </w:p>
    <w:p w:rsidR="00F7277C" w:rsidRPr="00C534A8" w:rsidRDefault="00F7277C" w:rsidP="00F7277C">
      <w:pPr>
        <w:numPr>
          <w:ilvl w:val="0"/>
          <w:numId w:val="5"/>
        </w:numPr>
        <w:spacing w:before="60" w:after="60" w:line="232" w:lineRule="exact"/>
        <w:ind w:left="482" w:hanging="228"/>
        <w:jc w:val="both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>wrocławski (2,5% wobec 1,7% w analogicznym m</w:t>
      </w:r>
      <w:r w:rsidR="00986ACB">
        <w:rPr>
          <w:rFonts w:ascii="Calibri" w:hAnsi="Calibri" w:cs="Calibri"/>
          <w:color w:val="auto"/>
          <w:lang w:val="pl-PL"/>
        </w:rPr>
        <w:t>iesiącu 2020</w:t>
      </w:r>
      <w:r w:rsidRPr="00C534A8">
        <w:rPr>
          <w:rFonts w:ascii="Calibri" w:hAnsi="Calibri" w:cs="Calibri"/>
          <w:color w:val="auto"/>
          <w:lang w:val="pl-PL"/>
        </w:rPr>
        <w:t xml:space="preserve"> r.),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28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lubiński (5,1% wobec 4,4%),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28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polkowicki (5,1% wobec 4,7%),</w:t>
      </w:r>
    </w:p>
    <w:p w:rsidR="00F7277C" w:rsidRPr="00C534A8" w:rsidRDefault="00F7277C" w:rsidP="00F7277C">
      <w:pPr>
        <w:numPr>
          <w:ilvl w:val="0"/>
          <w:numId w:val="5"/>
        </w:numPr>
        <w:spacing w:before="20" w:after="60" w:line="232" w:lineRule="exact"/>
        <w:ind w:left="482" w:hanging="228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oławski (5,2% wobec 4,4%)</w:t>
      </w:r>
    </w:p>
    <w:p w:rsidR="00F7277C" w:rsidRPr="00C534A8" w:rsidRDefault="00F7277C" w:rsidP="00F7277C">
      <w:pPr>
        <w:spacing w:before="60" w:after="60" w:line="232" w:lineRule="exact"/>
        <w:ind w:left="482" w:hanging="228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>oraz miasta na prawach powiatu:</w:t>
      </w:r>
    </w:p>
    <w:p w:rsidR="00F7277C" w:rsidRPr="00C534A8" w:rsidRDefault="00F7277C" w:rsidP="00F7277C">
      <w:pPr>
        <w:numPr>
          <w:ilvl w:val="0"/>
          <w:numId w:val="5"/>
        </w:numPr>
        <w:spacing w:before="60" w:after="60" w:line="232" w:lineRule="exact"/>
        <w:ind w:left="482" w:hanging="228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</w:rPr>
        <w:t>Wrocław (2,6% wobec 1,7%),</w:t>
      </w:r>
    </w:p>
    <w:p w:rsidR="00F7277C" w:rsidRPr="00C534A8" w:rsidRDefault="00F7277C" w:rsidP="00F7277C">
      <w:pPr>
        <w:numPr>
          <w:ilvl w:val="0"/>
          <w:numId w:val="5"/>
        </w:numPr>
        <w:spacing w:before="60" w:after="60" w:line="232" w:lineRule="exact"/>
        <w:ind w:left="482" w:hanging="228"/>
        <w:jc w:val="both"/>
        <w:rPr>
          <w:rFonts w:ascii="Calibri" w:hAnsi="Calibri" w:cs="Calibri"/>
          <w:color w:val="auto"/>
        </w:rPr>
      </w:pPr>
      <w:r w:rsidRPr="00C534A8">
        <w:rPr>
          <w:rFonts w:ascii="Calibri" w:hAnsi="Calibri" w:cs="Calibri"/>
          <w:color w:val="auto"/>
          <w:lang w:val="pl-PL"/>
        </w:rPr>
        <w:t>Jelenia Góra (4,8% wobec 3,6%).</w:t>
      </w:r>
    </w:p>
    <w:p w:rsidR="00783427" w:rsidRPr="00C534A8" w:rsidRDefault="00783427" w:rsidP="00092C08">
      <w:pPr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</w:p>
    <w:p w:rsidR="00096B76" w:rsidRPr="00C534A8" w:rsidRDefault="00096B76" w:rsidP="00603D04">
      <w:pPr>
        <w:pStyle w:val="Akapitzlist"/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</w:p>
    <w:p w:rsidR="00036350" w:rsidRPr="00C534A8" w:rsidRDefault="00036350" w:rsidP="00F14965">
      <w:pPr>
        <w:spacing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036350" w:rsidRPr="00C534A8" w:rsidRDefault="00036350" w:rsidP="00F14965">
      <w:pPr>
        <w:spacing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F14965" w:rsidRPr="00C534A8" w:rsidRDefault="008A2406" w:rsidP="00F14965">
      <w:pPr>
        <w:spacing w:line="276" w:lineRule="auto"/>
        <w:jc w:val="both"/>
        <w:rPr>
          <w:rFonts w:ascii="Calibri" w:hAnsi="Calibri" w:cs="Calibri"/>
          <w:b/>
          <w:color w:val="auto"/>
          <w:lang w:val="pl-PL"/>
        </w:rPr>
      </w:pPr>
      <w:r w:rsidRPr="00C534A8">
        <w:rPr>
          <w:rFonts w:ascii="Calibri" w:hAnsi="Calibri" w:cs="Calibri"/>
          <w:b/>
          <w:color w:val="auto"/>
          <w:lang w:val="pl-PL"/>
        </w:rPr>
        <w:lastRenderedPageBreak/>
        <w:t>W</w:t>
      </w:r>
      <w:r w:rsidR="008B61B3" w:rsidRPr="00C534A8">
        <w:rPr>
          <w:rFonts w:ascii="Calibri" w:hAnsi="Calibri" w:cs="Calibri"/>
          <w:b/>
          <w:color w:val="auto"/>
          <w:lang w:val="pl-PL"/>
        </w:rPr>
        <w:t>ynagrodzenia</w:t>
      </w:r>
      <w:r w:rsidR="00601604" w:rsidRPr="00C534A8">
        <w:rPr>
          <w:rFonts w:ascii="Calibri" w:hAnsi="Calibri" w:cs="Calibri"/>
          <w:b/>
          <w:color w:val="auto"/>
          <w:lang w:val="pl-PL"/>
        </w:rPr>
        <w:t>:</w:t>
      </w:r>
    </w:p>
    <w:p w:rsidR="00036350" w:rsidRPr="00C534A8" w:rsidRDefault="00036350" w:rsidP="00036350">
      <w:pPr>
        <w:pStyle w:val="Akapitzwyky"/>
        <w:spacing w:before="120"/>
        <w:rPr>
          <w:rFonts w:ascii="Calibri" w:hAnsi="Calibri" w:cs="Calibri"/>
          <w:spacing w:val="-3"/>
          <w:sz w:val="20"/>
          <w:szCs w:val="20"/>
          <w:u w:val="single"/>
        </w:rPr>
      </w:pPr>
      <w:r w:rsidRPr="00C534A8">
        <w:rPr>
          <w:rFonts w:ascii="Calibri" w:hAnsi="Calibri" w:cs="Calibri"/>
          <w:sz w:val="20"/>
          <w:szCs w:val="20"/>
          <w:u w:val="single"/>
        </w:rPr>
        <w:t xml:space="preserve">W lutym 2021 r. przeciętne miesięczne wynagrodzenia brutto w sektorze przedsiębiorstw rosły w skali roku szybciej niż  w styczniu br. </w:t>
      </w:r>
      <w:r w:rsidRPr="00C534A8">
        <w:rPr>
          <w:rFonts w:ascii="Calibri" w:hAnsi="Calibri" w:cs="Calibri"/>
          <w:b/>
          <w:spacing w:val="-3"/>
          <w:sz w:val="20"/>
          <w:szCs w:val="20"/>
          <w:u w:val="single"/>
        </w:rPr>
        <w:t>Przeciętne miesięczne wynagrodzenie brutto w sektorze przedsiębiorstw</w:t>
      </w:r>
      <w:r w:rsidRPr="00C534A8">
        <w:rPr>
          <w:rFonts w:ascii="Calibri" w:hAnsi="Calibri" w:cs="Calibri"/>
          <w:spacing w:val="-3"/>
          <w:sz w:val="20"/>
          <w:szCs w:val="20"/>
          <w:u w:val="single"/>
        </w:rPr>
        <w:t xml:space="preserve"> w województwie w lutym br. kształtowało się na poziomie 5684,40 zł i było wyższe o 5,7% w relacji do lutego poprzedniego roku (w lutym 2020 r. wzrosło o 8,4% w skali roku).</w:t>
      </w:r>
    </w:p>
    <w:p w:rsidR="00036350" w:rsidRPr="00C534A8" w:rsidRDefault="00036350" w:rsidP="00036350">
      <w:pPr>
        <w:pStyle w:val="Akapitzwyky"/>
        <w:rPr>
          <w:rFonts w:ascii="Calibri" w:hAnsi="Calibri" w:cs="Calibri"/>
          <w:sz w:val="20"/>
          <w:szCs w:val="20"/>
          <w:u w:val="single"/>
        </w:rPr>
      </w:pPr>
      <w:r w:rsidRPr="00C534A8">
        <w:rPr>
          <w:rFonts w:ascii="Calibri" w:hAnsi="Calibri" w:cs="Calibri"/>
          <w:sz w:val="20"/>
          <w:szCs w:val="20"/>
          <w:u w:val="single"/>
        </w:rPr>
        <w:t>W kraju przeciętne wynagrodzenie w lutym br. wyniosło 5568,82 zł i wzrosło w ciągu roku o 4,5%.</w:t>
      </w:r>
    </w:p>
    <w:p w:rsidR="00D8648A" w:rsidRPr="00C534A8" w:rsidRDefault="00D8648A" w:rsidP="00D8648A">
      <w:pPr>
        <w:spacing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</w:p>
    <w:p w:rsidR="00036350" w:rsidRPr="00C534A8" w:rsidRDefault="00036350" w:rsidP="00036350">
      <w:pPr>
        <w:pStyle w:val="Akapitzwyky"/>
        <w:spacing w:before="120"/>
        <w:rPr>
          <w:rFonts w:ascii="Calibri" w:hAnsi="Calibri" w:cs="Calibri"/>
          <w:spacing w:val="-7"/>
          <w:sz w:val="20"/>
          <w:szCs w:val="20"/>
        </w:rPr>
      </w:pPr>
      <w:r w:rsidRPr="00C534A8">
        <w:rPr>
          <w:rFonts w:ascii="Calibri" w:hAnsi="Calibri" w:cs="Calibri"/>
          <w:spacing w:val="-7"/>
          <w:sz w:val="20"/>
          <w:szCs w:val="20"/>
        </w:rPr>
        <w:t xml:space="preserve">W porównaniu do lutego 2020 r. wzrost przeciętnych wynagrodzeń odnotowano w 13 sekcjach sektora przedsiębiorstw, w tym najwyższy w informacji i komunikacji (o 10,8%). Spadek wystąpił w 1 sekcji  – działalność związana z kulturą, rozrywką i rekreacją (o 0,9%). </w:t>
      </w:r>
    </w:p>
    <w:p w:rsidR="002A578A" w:rsidRPr="00C534A8" w:rsidRDefault="002A578A" w:rsidP="00603D04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2A578A" w:rsidRPr="00C534A8" w:rsidRDefault="002A578A" w:rsidP="002A578A">
      <w:pPr>
        <w:pStyle w:val="Akapitzwyky"/>
        <w:rPr>
          <w:rFonts w:ascii="Calibri" w:hAnsi="Calibri" w:cs="Calibri"/>
          <w:spacing w:val="-2"/>
          <w:sz w:val="20"/>
          <w:szCs w:val="20"/>
        </w:rPr>
      </w:pPr>
      <w:r w:rsidRPr="00C534A8">
        <w:rPr>
          <w:rFonts w:ascii="Calibri" w:hAnsi="Calibri" w:cs="Calibri"/>
          <w:sz w:val="20"/>
          <w:szCs w:val="20"/>
        </w:rPr>
        <w:t xml:space="preserve">W odniesieniu do przeciętnego wynagrodzenia w sektorze przedsiębiorstw w województwie w lutym br. najwyższe wynagrodzenie otrzymali pracujący w informacji i komunikacji (wyższe o 70,8%), a także w działalności profesjonalnej, naukowej i technicznej (o 32,3%). Stosunkowo najniższe przeciętne wynagrodzenie brutto wystąpiło w administrowaniu i </w:t>
      </w:r>
      <w:r w:rsidRPr="00C534A8">
        <w:rPr>
          <w:rFonts w:ascii="Calibri" w:hAnsi="Calibri" w:cs="Calibri"/>
          <w:spacing w:val="-2"/>
          <w:sz w:val="20"/>
          <w:szCs w:val="20"/>
        </w:rPr>
        <w:t>działalności wspierającej (o 29,1% niższe od przeciętnego wynagrodzenia w sektorze przedsiębiorstw) oraz w transporcie i gospodarce magazynowej (niższe o 21,4%).</w:t>
      </w:r>
    </w:p>
    <w:p w:rsidR="002A578A" w:rsidRPr="00C534A8" w:rsidRDefault="002A578A" w:rsidP="002A578A">
      <w:pPr>
        <w:pStyle w:val="Akapitzwyky"/>
        <w:rPr>
          <w:rFonts w:ascii="Calibri" w:hAnsi="Calibri" w:cs="Calibri"/>
          <w:sz w:val="20"/>
          <w:szCs w:val="20"/>
        </w:rPr>
      </w:pPr>
      <w:r w:rsidRPr="00C534A8">
        <w:rPr>
          <w:rFonts w:ascii="Calibri" w:hAnsi="Calibri" w:cs="Calibri"/>
          <w:sz w:val="20"/>
          <w:szCs w:val="20"/>
        </w:rPr>
        <w:t>W relacji do stycznia br. przeciętne miesięczne wynagrodzenie brutto ukształtowało się na poziomie niższym o 0,7%.</w:t>
      </w:r>
    </w:p>
    <w:p w:rsidR="00212701" w:rsidRPr="00C534A8" w:rsidRDefault="00212701" w:rsidP="00603D04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E5529B" w:rsidRPr="00C534A8" w:rsidRDefault="008B61B3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  <w:r w:rsidRPr="00C534A8">
        <w:rPr>
          <w:rFonts w:ascii="Calibri" w:hAnsi="Calibri" w:cs="Calibri"/>
          <w:b/>
          <w:color w:val="auto"/>
          <w:lang w:val="pl-PL"/>
        </w:rPr>
        <w:t>Sprzedaż detaliczna</w:t>
      </w:r>
    </w:p>
    <w:p w:rsidR="00E320E7" w:rsidRPr="00C534A8" w:rsidRDefault="00E320E7" w:rsidP="00E15FCE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3C5C65" w:rsidRPr="00C534A8" w:rsidRDefault="003C5C65" w:rsidP="003C5C65">
      <w:pPr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  <w:r w:rsidRPr="00C534A8">
        <w:rPr>
          <w:rFonts w:ascii="Calibri" w:hAnsi="Calibri" w:cs="Calibri"/>
          <w:color w:val="auto"/>
          <w:u w:val="single"/>
          <w:lang w:val="pl-PL"/>
        </w:rPr>
        <w:t>Sprzedaż detaliczna zrealizowana przez przedsiębiorstwa handlowe i niehandlowe w lutym br. była o 3,4 wyższa niż w lutym 2020 r. (kiedy notowano wzrost o 5,6%).</w:t>
      </w:r>
    </w:p>
    <w:p w:rsidR="003C5C65" w:rsidRPr="00C534A8" w:rsidRDefault="003C5C65" w:rsidP="003C5C65">
      <w:pPr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</w:p>
    <w:p w:rsidR="003C5C65" w:rsidRPr="00C534A8" w:rsidRDefault="003C5C65" w:rsidP="003C5C65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 xml:space="preserve">W grupie żywność, napoje i wyroby tytoniowe (o udziale wynoszącym 41,8% sprzedaży detalicznej ogółem) sprzedaż była niższa o 5,7%. Największy wzrost sprzedaży detalicznej odnotowano w grupie pojazdy samochodowe, motocykle, części (o 28,5%). </w:t>
      </w:r>
    </w:p>
    <w:p w:rsidR="003C5C65" w:rsidRPr="00C534A8" w:rsidRDefault="003C5C65" w:rsidP="003C5C65">
      <w:pPr>
        <w:spacing w:after="0" w:line="276" w:lineRule="auto"/>
        <w:jc w:val="both"/>
        <w:rPr>
          <w:rFonts w:ascii="Calibri" w:hAnsi="Calibri" w:cs="Calibri"/>
          <w:color w:val="auto"/>
          <w:spacing w:val="-2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 xml:space="preserve">W porównaniu do stycznia br. sprzedaż detaliczna zwiększyła się o 4,7%. Największy wzrost w skali miesiąca odnotowano </w:t>
      </w:r>
      <w:r w:rsidRPr="00C534A8">
        <w:rPr>
          <w:rFonts w:ascii="Calibri" w:hAnsi="Calibri" w:cs="Calibri"/>
          <w:color w:val="auto"/>
          <w:spacing w:val="2"/>
          <w:lang w:val="pl-PL"/>
        </w:rPr>
        <w:t>w grupach: włókno, odzież, obuwie (trzykrotny) oraz pozostała sprzedaż detaliczna w niewyspecjalizowanych sklepach (o 64,9%).</w:t>
      </w:r>
      <w:r w:rsidRPr="00C534A8">
        <w:rPr>
          <w:rFonts w:ascii="Calibri" w:hAnsi="Calibri" w:cs="Calibri"/>
          <w:color w:val="auto"/>
          <w:lang w:val="pl-PL"/>
        </w:rPr>
        <w:t xml:space="preserve"> Największy spadek w skali miesiąca odnotowano w grupie prasa, książki, pozostała sprzedaż w wyspecjalizowanych sklepach</w:t>
      </w:r>
      <w:r w:rsidRPr="00C534A8">
        <w:rPr>
          <w:rFonts w:ascii="Calibri" w:hAnsi="Calibri" w:cs="Calibri"/>
          <w:color w:val="auto"/>
          <w:spacing w:val="-2"/>
          <w:lang w:val="pl-PL"/>
        </w:rPr>
        <w:t xml:space="preserve"> (o 21,3%). </w:t>
      </w:r>
    </w:p>
    <w:p w:rsidR="003C5C65" w:rsidRPr="00C534A8" w:rsidRDefault="003C5C65" w:rsidP="003C5C65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 xml:space="preserve">W okresie styczeń–luty br. sprzedaż detaliczna była niższa o 0,7% niż w analogicznym okresie poprzedniego roku (wobec wzrostu o 4,2% w okresie styczeń–luty 2020 r.). </w:t>
      </w:r>
    </w:p>
    <w:p w:rsidR="00E15FCE" w:rsidRPr="00C534A8" w:rsidRDefault="00E15FCE" w:rsidP="00DE22B0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741BE3" w:rsidRPr="00C534A8" w:rsidRDefault="00741BE3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  <w:r w:rsidRPr="00C534A8">
        <w:rPr>
          <w:rFonts w:ascii="Calibri" w:hAnsi="Calibri" w:cs="Calibri"/>
          <w:b/>
          <w:color w:val="auto"/>
          <w:lang w:val="pl-PL"/>
        </w:rPr>
        <w:t>Produkcja sprzedana przemysłu:</w:t>
      </w:r>
    </w:p>
    <w:p w:rsidR="00DE22B0" w:rsidRPr="00C534A8" w:rsidRDefault="00DE22B0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3C5C65" w:rsidRPr="00C534A8" w:rsidRDefault="003C5C65" w:rsidP="00305E30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  <w:r w:rsidRPr="00C534A8">
        <w:rPr>
          <w:rFonts w:ascii="Calibri" w:hAnsi="Calibri" w:cs="Calibri"/>
          <w:color w:val="auto"/>
          <w:lang w:val="pl-PL"/>
        </w:rPr>
        <w:t>Produkcja sprzedana przemysłu w lutym br. osiągnęła wartość (w cenach bieżących) 14414,3 mln zł i była (w cenach stałych) o 11,7% wyższa niż przed rokiem (wówczas notowano wzrost o 7,4%). Równocześnie w skali roku zanotowano spadek (w cenach bieżących) produkcji budowlano-montażowej o 0,7% (przed rokiem wystąpił wzrost o 17,3%).</w:t>
      </w:r>
    </w:p>
    <w:p w:rsidR="00305E30" w:rsidRPr="00C534A8" w:rsidRDefault="00305E30" w:rsidP="00305E30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0D1261" w:rsidRPr="00C534A8" w:rsidRDefault="000D1261" w:rsidP="000D1261">
      <w:pPr>
        <w:pStyle w:val="Akapitzwyky"/>
        <w:rPr>
          <w:rFonts w:ascii="Calibri" w:hAnsi="Calibri" w:cs="Calibri"/>
          <w:sz w:val="20"/>
          <w:szCs w:val="20"/>
        </w:rPr>
      </w:pPr>
      <w:r w:rsidRPr="00C534A8">
        <w:rPr>
          <w:rFonts w:ascii="Calibri" w:hAnsi="Calibri" w:cs="Calibri"/>
          <w:sz w:val="20"/>
          <w:szCs w:val="20"/>
        </w:rPr>
        <w:t>Produkcja sprzedana w przetwórstwie przemysłowym, stanowiąca 82,2% produkcji przemysłowej ogółem, w porównaniu</w:t>
      </w:r>
      <w:r w:rsidRPr="00C534A8">
        <w:rPr>
          <w:rFonts w:ascii="Calibri" w:hAnsi="Calibri" w:cs="Calibri"/>
          <w:sz w:val="20"/>
          <w:szCs w:val="20"/>
        </w:rPr>
        <w:br/>
        <w:t>z lutym ub. roku zwiększyła się (w cenach stałych) o 15,8% (wobec wzrostu o 8,8% w lutym 2020 r.). W sekcji dostawa wody; gospodarowanie ściekami i odpadami; rekultywacja odnotowano wzrost o 6,7% (wobec wzrostu o 13,2% w lutym 2020 r.).</w:t>
      </w:r>
    </w:p>
    <w:p w:rsidR="000D1261" w:rsidRPr="00C534A8" w:rsidRDefault="000D1261" w:rsidP="000D1261">
      <w:pPr>
        <w:pStyle w:val="Akapitzwyky"/>
        <w:spacing w:before="120" w:line="250" w:lineRule="exact"/>
        <w:rPr>
          <w:rFonts w:ascii="Calibri" w:hAnsi="Calibri" w:cs="Calibri"/>
          <w:kern w:val="2"/>
          <w:sz w:val="20"/>
          <w:szCs w:val="20"/>
          <w:lang w:eastAsia="ja-JP"/>
        </w:rPr>
      </w:pPr>
    </w:p>
    <w:p w:rsidR="000D1261" w:rsidRPr="00C534A8" w:rsidRDefault="000D1261" w:rsidP="000D1261">
      <w:pPr>
        <w:pStyle w:val="Akapitzwyky"/>
        <w:spacing w:before="120" w:line="250" w:lineRule="exact"/>
        <w:rPr>
          <w:rFonts w:ascii="Calibri" w:hAnsi="Calibri" w:cs="Calibri"/>
          <w:sz w:val="20"/>
          <w:szCs w:val="20"/>
        </w:rPr>
      </w:pPr>
      <w:r w:rsidRPr="00C534A8">
        <w:rPr>
          <w:rFonts w:ascii="Calibri" w:hAnsi="Calibri" w:cs="Calibri"/>
          <w:sz w:val="20"/>
          <w:szCs w:val="20"/>
        </w:rPr>
        <w:t>Wyższy niż w lutym ub. roku poziom produkcji sprzedanej wystąpił w 13 (spośród 31 występujących w województwie) działach przemysłu, w tym m.in. w: produkcji urządzeń elektrycznych (o 123,3%), wyrobów z gumy i tworzyw sztucznych (o 23,0%) i wyrobów z metalu (o 14,6%). Największy spadek odnotowano w produkcji pojazdów samochodowych, przyczep i naczep (o 11,9%).</w:t>
      </w:r>
    </w:p>
    <w:p w:rsidR="000D1261" w:rsidRPr="00C534A8" w:rsidRDefault="000D1261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8B61B3" w:rsidRPr="00C534A8" w:rsidRDefault="008B61B3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  <w:r w:rsidRPr="00C534A8">
        <w:rPr>
          <w:rFonts w:ascii="Calibri" w:hAnsi="Calibri" w:cs="Calibri"/>
          <w:b/>
          <w:color w:val="auto"/>
          <w:lang w:val="pl-PL"/>
        </w:rPr>
        <w:t>Podmioty gospodarcze</w:t>
      </w:r>
      <w:r w:rsidR="008B4A13" w:rsidRPr="00C534A8">
        <w:rPr>
          <w:rFonts w:ascii="Calibri" w:hAnsi="Calibri" w:cs="Calibri"/>
          <w:b/>
          <w:color w:val="auto"/>
          <w:lang w:val="pl-PL"/>
        </w:rPr>
        <w:t>:</w:t>
      </w:r>
    </w:p>
    <w:p w:rsidR="00C14C18" w:rsidRPr="00C534A8" w:rsidRDefault="00C14C18" w:rsidP="00603D04">
      <w:pPr>
        <w:spacing w:after="0" w:line="276" w:lineRule="auto"/>
        <w:jc w:val="both"/>
        <w:rPr>
          <w:rFonts w:ascii="Calibri" w:hAnsi="Calibri" w:cs="Calibri"/>
          <w:b/>
          <w:color w:val="auto"/>
          <w:lang w:val="pl-PL"/>
        </w:rPr>
      </w:pPr>
    </w:p>
    <w:p w:rsidR="00B807F7" w:rsidRPr="00C534A8" w:rsidRDefault="00B807F7" w:rsidP="00F94C5E">
      <w:pPr>
        <w:pStyle w:val="Akapitzwyky"/>
        <w:rPr>
          <w:rFonts w:ascii="Calibri" w:hAnsi="Calibri" w:cs="Calibri"/>
          <w:sz w:val="20"/>
          <w:szCs w:val="20"/>
        </w:rPr>
      </w:pPr>
      <w:r w:rsidRPr="00C534A8">
        <w:rPr>
          <w:rFonts w:ascii="Calibri" w:hAnsi="Calibri" w:cs="Calibri"/>
          <w:sz w:val="20"/>
          <w:szCs w:val="20"/>
        </w:rPr>
        <w:t xml:space="preserve">W lutym 2021 r. liczba podmiotów gospodarki narodowej wzrosła o 0,2% w stosunku do poprzedniego miesiąca. Zmniejszyła się liczba jednostek, które zostały wpisane (o 3,7%) oraz wykreślone (o 35,4%) z rejestru REGON, odnotowano natomiast więcej podmiotów, które miały zawieszoną działalność (o 0,8%). </w:t>
      </w:r>
    </w:p>
    <w:p w:rsidR="007D027C" w:rsidRPr="00C534A8" w:rsidRDefault="007D027C" w:rsidP="00F94C5E">
      <w:pPr>
        <w:pStyle w:val="Akapitzwyky"/>
        <w:rPr>
          <w:rFonts w:ascii="Calibri" w:hAnsi="Calibri" w:cs="Calibri"/>
          <w:sz w:val="20"/>
          <w:szCs w:val="20"/>
          <w:u w:val="single"/>
        </w:rPr>
      </w:pPr>
      <w:r w:rsidRPr="00C534A8">
        <w:rPr>
          <w:rFonts w:ascii="Calibri" w:hAnsi="Calibri" w:cs="Calibri"/>
          <w:spacing w:val="-2"/>
          <w:sz w:val="20"/>
          <w:szCs w:val="20"/>
          <w:u w:val="single"/>
        </w:rPr>
        <w:t xml:space="preserve">W </w:t>
      </w:r>
      <w:r w:rsidRPr="00C534A8">
        <w:rPr>
          <w:rFonts w:ascii="Calibri" w:hAnsi="Calibri" w:cs="Calibri"/>
          <w:sz w:val="20"/>
          <w:szCs w:val="20"/>
          <w:u w:val="single"/>
        </w:rPr>
        <w:t xml:space="preserve">lutym br. </w:t>
      </w:r>
      <w:r w:rsidRPr="00C534A8">
        <w:rPr>
          <w:rFonts w:ascii="Calibri" w:hAnsi="Calibri" w:cs="Calibri"/>
          <w:spacing w:val="-2"/>
          <w:sz w:val="20"/>
          <w:szCs w:val="20"/>
          <w:u w:val="single"/>
        </w:rPr>
        <w:t>do rejestru REGON wpisano 2262 nowe podmioty, tj. o 3,7% mniej niż w poprzednim miesiącu</w:t>
      </w:r>
      <w:r w:rsidRPr="00C534A8">
        <w:rPr>
          <w:rFonts w:ascii="Calibri" w:hAnsi="Calibri" w:cs="Calibri"/>
          <w:sz w:val="20"/>
          <w:szCs w:val="20"/>
          <w:u w:val="single"/>
        </w:rPr>
        <w:t xml:space="preserve">, natomiast z ewidencji wykreślono 1246 podmiotów, tj. o 35,4% mniej niż przed miesiącem. </w:t>
      </w:r>
    </w:p>
    <w:p w:rsidR="007D027C" w:rsidRPr="00C534A8" w:rsidRDefault="007D027C" w:rsidP="00F94C5E">
      <w:pPr>
        <w:pStyle w:val="Akapitzwyky"/>
        <w:rPr>
          <w:rFonts w:ascii="Calibri" w:hAnsi="Calibri" w:cs="Calibri"/>
          <w:sz w:val="20"/>
          <w:szCs w:val="20"/>
        </w:rPr>
      </w:pPr>
      <w:r w:rsidRPr="00C534A8">
        <w:rPr>
          <w:rFonts w:ascii="Calibri" w:hAnsi="Calibri" w:cs="Calibri"/>
          <w:spacing w:val="-3"/>
          <w:sz w:val="20"/>
          <w:szCs w:val="20"/>
        </w:rPr>
        <w:lastRenderedPageBreak/>
        <w:t>Według stanu na koniec lutego br.w rejestrze REGON 44,1 tys. podmiotów miało zawieszoną działalność (o 0,8% więcej niż przed miesiącem).</w:t>
      </w:r>
      <w:r w:rsidRPr="00C534A8">
        <w:rPr>
          <w:rFonts w:ascii="Calibri" w:hAnsi="Calibri" w:cs="Calibri"/>
          <w:sz w:val="20"/>
          <w:szCs w:val="20"/>
        </w:rPr>
        <w:t xml:space="preserve"> </w:t>
      </w:r>
    </w:p>
    <w:p w:rsidR="00B807F7" w:rsidRPr="00C534A8" w:rsidRDefault="00B807F7" w:rsidP="00F94C5E">
      <w:pPr>
        <w:pStyle w:val="Akapitzwyky"/>
        <w:rPr>
          <w:rFonts w:ascii="Calibri" w:hAnsi="Calibri" w:cs="Calibri"/>
          <w:sz w:val="20"/>
          <w:szCs w:val="20"/>
        </w:rPr>
      </w:pPr>
      <w:r w:rsidRPr="00C534A8">
        <w:rPr>
          <w:rFonts w:ascii="Calibri" w:hAnsi="Calibri" w:cs="Calibri"/>
          <w:sz w:val="20"/>
          <w:szCs w:val="20"/>
        </w:rPr>
        <w:t xml:space="preserve">Liczba zarejestrowanych </w:t>
      </w:r>
      <w:r w:rsidRPr="00C534A8">
        <w:rPr>
          <w:rFonts w:ascii="Calibri" w:hAnsi="Calibri" w:cs="Calibri"/>
          <w:b/>
          <w:sz w:val="20"/>
          <w:szCs w:val="20"/>
        </w:rPr>
        <w:t>osób fizycznych</w:t>
      </w:r>
      <w:r w:rsidRPr="00C534A8">
        <w:rPr>
          <w:rFonts w:ascii="Calibri" w:hAnsi="Calibri" w:cs="Calibri"/>
          <w:sz w:val="20"/>
          <w:szCs w:val="20"/>
        </w:rPr>
        <w:t xml:space="preserve"> prowadzących działalność gospodarczą wyniosła 261,8 tys. i w porównaniu</w:t>
      </w:r>
      <w:r w:rsidRPr="00C534A8">
        <w:rPr>
          <w:rFonts w:ascii="Calibri" w:hAnsi="Calibri" w:cs="Calibri"/>
          <w:sz w:val="20"/>
          <w:szCs w:val="20"/>
        </w:rPr>
        <w:br/>
        <w:t xml:space="preserve">z analogicznym okresem 2020 roku wzrosła o 3,9%. Do rejestru REGON wpisanych było 74,7 tys. </w:t>
      </w:r>
      <w:r w:rsidRPr="00C534A8">
        <w:rPr>
          <w:rFonts w:ascii="Calibri" w:hAnsi="Calibri" w:cs="Calibri"/>
          <w:b/>
          <w:sz w:val="20"/>
          <w:szCs w:val="20"/>
        </w:rPr>
        <w:t>spółek</w:t>
      </w:r>
      <w:r w:rsidRPr="00C534A8">
        <w:rPr>
          <w:rFonts w:ascii="Calibri" w:hAnsi="Calibri" w:cs="Calibri"/>
          <w:sz w:val="20"/>
          <w:szCs w:val="20"/>
        </w:rPr>
        <w:t>, w tym 47,6 tys. handlowych i 26,9 tys. cywilnych. Liczba tych podmiotów wzrosła w skali roku odpowiednio o 3,1%, 4,7% i 0,3%.</w:t>
      </w:r>
    </w:p>
    <w:p w:rsidR="00C14C18" w:rsidRPr="00BF1E06" w:rsidRDefault="00C14C18" w:rsidP="00F94C5E">
      <w:pPr>
        <w:pStyle w:val="Akapitzwyky"/>
        <w:rPr>
          <w:rFonts w:ascii="Calibri" w:hAnsi="Calibri" w:cs="Calibri"/>
          <w:sz w:val="20"/>
          <w:szCs w:val="20"/>
          <w:u w:val="single"/>
        </w:rPr>
      </w:pPr>
    </w:p>
    <w:p w:rsidR="00C14C18" w:rsidRPr="00BF1E06" w:rsidRDefault="00C14C18" w:rsidP="00C14C18">
      <w:pPr>
        <w:spacing w:after="0" w:line="276" w:lineRule="auto"/>
        <w:jc w:val="both"/>
        <w:rPr>
          <w:rFonts w:ascii="Calibri" w:hAnsi="Calibri" w:cs="Calibri"/>
          <w:color w:val="auto"/>
          <w:u w:val="single"/>
          <w:lang w:val="pl-PL"/>
        </w:rPr>
      </w:pPr>
    </w:p>
    <w:p w:rsidR="00E320E7" w:rsidRPr="00BF1E06" w:rsidRDefault="00E320E7" w:rsidP="00603D04">
      <w:pPr>
        <w:spacing w:after="0" w:line="276" w:lineRule="auto"/>
        <w:jc w:val="both"/>
        <w:rPr>
          <w:rFonts w:ascii="Calibri" w:hAnsi="Calibri" w:cs="Calibri"/>
          <w:color w:val="auto"/>
          <w:lang w:val="pl-PL"/>
        </w:rPr>
      </w:pPr>
    </w:p>
    <w:p w:rsidR="00E5529B" w:rsidRPr="00BF1E06" w:rsidRDefault="00E5529B" w:rsidP="00E320E7">
      <w:pPr>
        <w:spacing w:after="0" w:line="240" w:lineRule="auto"/>
        <w:rPr>
          <w:rFonts w:ascii="Calibri" w:hAnsi="Calibri" w:cs="Calibri"/>
          <w:noProof/>
          <w:lang w:val="pl-PL"/>
        </w:rPr>
      </w:pPr>
    </w:p>
    <w:sectPr w:rsidR="00E5529B" w:rsidRPr="00BF1E06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D3" w:rsidRDefault="00806AD3" w:rsidP="00560A80">
      <w:pPr>
        <w:spacing w:after="0" w:line="240" w:lineRule="auto"/>
      </w:pPr>
      <w:r>
        <w:separator/>
      </w:r>
    </w:p>
  </w:endnote>
  <w:endnote w:type="continuationSeparator" w:id="0">
    <w:p w:rsidR="00806AD3" w:rsidRDefault="00806AD3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D3" w:rsidRDefault="00806AD3" w:rsidP="00560A80">
      <w:pPr>
        <w:spacing w:after="0" w:line="240" w:lineRule="auto"/>
      </w:pPr>
      <w:r>
        <w:separator/>
      </w:r>
    </w:p>
  </w:footnote>
  <w:footnote w:type="continuationSeparator" w:id="0">
    <w:p w:rsidR="00806AD3" w:rsidRDefault="00806AD3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7A9D"/>
    <w:multiLevelType w:val="hybridMultilevel"/>
    <w:tmpl w:val="7A0CB086"/>
    <w:lvl w:ilvl="0" w:tplc="0415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074F0"/>
    <w:rsid w:val="00021E09"/>
    <w:rsid w:val="000302B5"/>
    <w:rsid w:val="00036350"/>
    <w:rsid w:val="00036E82"/>
    <w:rsid w:val="00062A33"/>
    <w:rsid w:val="000662B5"/>
    <w:rsid w:val="00071136"/>
    <w:rsid w:val="00092C08"/>
    <w:rsid w:val="00093EBF"/>
    <w:rsid w:val="0009629F"/>
    <w:rsid w:val="00096326"/>
    <w:rsid w:val="00096B76"/>
    <w:rsid w:val="000A0A06"/>
    <w:rsid w:val="000B60C8"/>
    <w:rsid w:val="000B6344"/>
    <w:rsid w:val="000D1261"/>
    <w:rsid w:val="000D1C7D"/>
    <w:rsid w:val="000E0C16"/>
    <w:rsid w:val="00131FA2"/>
    <w:rsid w:val="00157EC3"/>
    <w:rsid w:val="00167922"/>
    <w:rsid w:val="00171302"/>
    <w:rsid w:val="001817A5"/>
    <w:rsid w:val="00184B94"/>
    <w:rsid w:val="001862F0"/>
    <w:rsid w:val="001953DB"/>
    <w:rsid w:val="001C22BE"/>
    <w:rsid w:val="001C79FD"/>
    <w:rsid w:val="001C7EA2"/>
    <w:rsid w:val="0020053F"/>
    <w:rsid w:val="0021266A"/>
    <w:rsid w:val="00212701"/>
    <w:rsid w:val="00215055"/>
    <w:rsid w:val="00215F97"/>
    <w:rsid w:val="00231494"/>
    <w:rsid w:val="00253480"/>
    <w:rsid w:val="00253E47"/>
    <w:rsid w:val="00265E99"/>
    <w:rsid w:val="00293788"/>
    <w:rsid w:val="002A36EF"/>
    <w:rsid w:val="002A578A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33E27"/>
    <w:rsid w:val="003341AC"/>
    <w:rsid w:val="00366F01"/>
    <w:rsid w:val="00367281"/>
    <w:rsid w:val="00373882"/>
    <w:rsid w:val="00395CEA"/>
    <w:rsid w:val="003B67E2"/>
    <w:rsid w:val="003C2D0E"/>
    <w:rsid w:val="003C5C65"/>
    <w:rsid w:val="003C6B93"/>
    <w:rsid w:val="003D3EF6"/>
    <w:rsid w:val="003E75C8"/>
    <w:rsid w:val="00401AAB"/>
    <w:rsid w:val="00402CB1"/>
    <w:rsid w:val="004123B1"/>
    <w:rsid w:val="00415436"/>
    <w:rsid w:val="00472659"/>
    <w:rsid w:val="00482C1B"/>
    <w:rsid w:val="004D2680"/>
    <w:rsid w:val="004D62B1"/>
    <w:rsid w:val="004F126C"/>
    <w:rsid w:val="004F5DD9"/>
    <w:rsid w:val="00503190"/>
    <w:rsid w:val="0050771F"/>
    <w:rsid w:val="0051725A"/>
    <w:rsid w:val="00531F6E"/>
    <w:rsid w:val="00535333"/>
    <w:rsid w:val="005374C4"/>
    <w:rsid w:val="00560A80"/>
    <w:rsid w:val="005913D3"/>
    <w:rsid w:val="005B432B"/>
    <w:rsid w:val="005C31F3"/>
    <w:rsid w:val="005F345C"/>
    <w:rsid w:val="00601604"/>
    <w:rsid w:val="00603D04"/>
    <w:rsid w:val="006070C0"/>
    <w:rsid w:val="006451BD"/>
    <w:rsid w:val="00655CC1"/>
    <w:rsid w:val="00675638"/>
    <w:rsid w:val="006829F2"/>
    <w:rsid w:val="006A7DE6"/>
    <w:rsid w:val="006B6907"/>
    <w:rsid w:val="006D4C6F"/>
    <w:rsid w:val="006E0067"/>
    <w:rsid w:val="006F0963"/>
    <w:rsid w:val="00735F4E"/>
    <w:rsid w:val="00741209"/>
    <w:rsid w:val="00741BE3"/>
    <w:rsid w:val="00761AE1"/>
    <w:rsid w:val="00762A86"/>
    <w:rsid w:val="00764438"/>
    <w:rsid w:val="00764EBA"/>
    <w:rsid w:val="00783427"/>
    <w:rsid w:val="007A5D2D"/>
    <w:rsid w:val="007A5F19"/>
    <w:rsid w:val="007B35D5"/>
    <w:rsid w:val="007B6AB6"/>
    <w:rsid w:val="007C71C8"/>
    <w:rsid w:val="007D027C"/>
    <w:rsid w:val="007D385C"/>
    <w:rsid w:val="007D5F7C"/>
    <w:rsid w:val="007D741E"/>
    <w:rsid w:val="007F2036"/>
    <w:rsid w:val="00806AD3"/>
    <w:rsid w:val="008155FD"/>
    <w:rsid w:val="00817847"/>
    <w:rsid w:val="008201DC"/>
    <w:rsid w:val="008242C4"/>
    <w:rsid w:val="00833132"/>
    <w:rsid w:val="00834437"/>
    <w:rsid w:val="00844281"/>
    <w:rsid w:val="008644C8"/>
    <w:rsid w:val="00880F06"/>
    <w:rsid w:val="008855AD"/>
    <w:rsid w:val="008862BC"/>
    <w:rsid w:val="0089197D"/>
    <w:rsid w:val="00895D5D"/>
    <w:rsid w:val="008A2406"/>
    <w:rsid w:val="008A4D81"/>
    <w:rsid w:val="008B0C90"/>
    <w:rsid w:val="008B4A13"/>
    <w:rsid w:val="008B61B3"/>
    <w:rsid w:val="008C754F"/>
    <w:rsid w:val="008F4261"/>
    <w:rsid w:val="00902317"/>
    <w:rsid w:val="00930311"/>
    <w:rsid w:val="0094317B"/>
    <w:rsid w:val="00986ACB"/>
    <w:rsid w:val="00986F33"/>
    <w:rsid w:val="00990EAE"/>
    <w:rsid w:val="009A5C5A"/>
    <w:rsid w:val="009A7E4F"/>
    <w:rsid w:val="009C702F"/>
    <w:rsid w:val="009D2B9B"/>
    <w:rsid w:val="009F609C"/>
    <w:rsid w:val="00A043B0"/>
    <w:rsid w:val="00A2668A"/>
    <w:rsid w:val="00A70C51"/>
    <w:rsid w:val="00A74B28"/>
    <w:rsid w:val="00A775D9"/>
    <w:rsid w:val="00A82585"/>
    <w:rsid w:val="00A931B1"/>
    <w:rsid w:val="00A94D27"/>
    <w:rsid w:val="00AA654E"/>
    <w:rsid w:val="00AC2C4D"/>
    <w:rsid w:val="00AC69DA"/>
    <w:rsid w:val="00AD28FE"/>
    <w:rsid w:val="00AE27FB"/>
    <w:rsid w:val="00AE64F3"/>
    <w:rsid w:val="00AE77D1"/>
    <w:rsid w:val="00AF5451"/>
    <w:rsid w:val="00B14AE7"/>
    <w:rsid w:val="00B14F29"/>
    <w:rsid w:val="00B56DB5"/>
    <w:rsid w:val="00B807F7"/>
    <w:rsid w:val="00B8482B"/>
    <w:rsid w:val="00B923D7"/>
    <w:rsid w:val="00BA797D"/>
    <w:rsid w:val="00BB3D69"/>
    <w:rsid w:val="00BB4C2B"/>
    <w:rsid w:val="00BB62C9"/>
    <w:rsid w:val="00BF1E06"/>
    <w:rsid w:val="00BF440B"/>
    <w:rsid w:val="00C07B6A"/>
    <w:rsid w:val="00C14C18"/>
    <w:rsid w:val="00C534A8"/>
    <w:rsid w:val="00C53CA8"/>
    <w:rsid w:val="00C572E6"/>
    <w:rsid w:val="00C61C14"/>
    <w:rsid w:val="00C71DA6"/>
    <w:rsid w:val="00CC12E2"/>
    <w:rsid w:val="00CC55DB"/>
    <w:rsid w:val="00CE2E57"/>
    <w:rsid w:val="00D032F3"/>
    <w:rsid w:val="00D35980"/>
    <w:rsid w:val="00D35B46"/>
    <w:rsid w:val="00D40CB6"/>
    <w:rsid w:val="00D46913"/>
    <w:rsid w:val="00D63100"/>
    <w:rsid w:val="00D66A39"/>
    <w:rsid w:val="00D7765E"/>
    <w:rsid w:val="00D8648A"/>
    <w:rsid w:val="00DA476A"/>
    <w:rsid w:val="00DB3C13"/>
    <w:rsid w:val="00DC6A47"/>
    <w:rsid w:val="00DE1648"/>
    <w:rsid w:val="00DE22B0"/>
    <w:rsid w:val="00E04B3A"/>
    <w:rsid w:val="00E06841"/>
    <w:rsid w:val="00E12541"/>
    <w:rsid w:val="00E15FCE"/>
    <w:rsid w:val="00E22D59"/>
    <w:rsid w:val="00E320E7"/>
    <w:rsid w:val="00E36938"/>
    <w:rsid w:val="00E4067F"/>
    <w:rsid w:val="00E5529B"/>
    <w:rsid w:val="00E55A53"/>
    <w:rsid w:val="00E74CF5"/>
    <w:rsid w:val="00EA3311"/>
    <w:rsid w:val="00EC21EB"/>
    <w:rsid w:val="00EC5DF3"/>
    <w:rsid w:val="00ED21B2"/>
    <w:rsid w:val="00ED595F"/>
    <w:rsid w:val="00F10294"/>
    <w:rsid w:val="00F14965"/>
    <w:rsid w:val="00F377E8"/>
    <w:rsid w:val="00F41C96"/>
    <w:rsid w:val="00F55C1A"/>
    <w:rsid w:val="00F60C9F"/>
    <w:rsid w:val="00F66B3B"/>
    <w:rsid w:val="00F70A38"/>
    <w:rsid w:val="00F7277C"/>
    <w:rsid w:val="00F9064E"/>
    <w:rsid w:val="00F9163C"/>
    <w:rsid w:val="00F94C5E"/>
    <w:rsid w:val="00F97EA0"/>
    <w:rsid w:val="00FA185E"/>
    <w:rsid w:val="00FB7E9A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2020-11-02T06:18:00Z</cp:lastPrinted>
  <dcterms:created xsi:type="dcterms:W3CDTF">2021-05-31T08:38:00Z</dcterms:created>
  <dcterms:modified xsi:type="dcterms:W3CDTF">2021-05-31T08:38:00Z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