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BF" w:rsidRPr="008B4A13" w:rsidRDefault="00560A80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 w:rsidRPr="008B4A13">
        <w:rPr>
          <w:rFonts w:ascii="Calibri" w:hAnsi="Calibri"/>
          <w:noProof/>
          <w:sz w:val="20"/>
          <w:lang w:val="pl-PL" w:eastAsia="pl-PL"/>
        </w:rPr>
        <w:drawing>
          <wp:inline distT="0" distB="0" distL="0" distR="0">
            <wp:extent cx="1550670" cy="5635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6" cy="5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:rsidR="00895D5D" w:rsidRPr="00EA3311" w:rsidRDefault="00DA5EDC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sierpień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867A72">
        <w:rPr>
          <w:rFonts w:ascii="Calibri" w:hAnsi="Calibri"/>
          <w:b/>
          <w:color w:val="auto"/>
          <w:sz w:val="20"/>
          <w:lang w:val="pl-PL"/>
        </w:rPr>
        <w:t>2022</w:t>
      </w:r>
    </w:p>
    <w:p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:rsidR="00CB3EDB" w:rsidRDefault="00CB3ED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7A5F19" w:rsidRPr="00F173FD" w:rsidRDefault="000E719E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 w:cstheme="majorBidi"/>
          <w:b/>
          <w:noProof/>
          <w:color w:val="auto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2050" type="#_x0000_t202" alt="Pasek boczny z polem tekstowym na artykuł i fotografię do wyróżnienia." style="position:absolute;left:0;text-align:left;margin-left:0;margin-top:3.85pt;width:176.4pt;height:314pt;z-index:251659264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18"/>
                  </w:tblGrid>
                  <w:tr w:rsidR="00895D5D" w:rsidRPr="00DA5EDC" w:rsidTr="00CC55DB">
                    <w:trPr>
                      <w:trHeight w:hRule="exact" w:val="6678"/>
                    </w:trPr>
                    <w:tc>
                      <w:tcPr>
                        <w:tcW w:w="3518" w:type="dxa"/>
                        <w:shd w:val="clear" w:color="auto" w:fill="E76A1D" w:themeFill="accent1"/>
                        <w:tcMar>
                          <w:top w:w="288" w:type="dxa"/>
                          <w:bottom w:w="288" w:type="dxa"/>
                        </w:tcMar>
                      </w:tcPr>
                      <w:p w:rsidR="00895D5D" w:rsidRPr="006D4C6F" w:rsidRDefault="00E5529B">
                        <w:pPr>
                          <w:pStyle w:val="Nagwekbloku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informacje podstawowe</w:t>
                        </w:r>
                      </w:p>
                      <w:p w:rsidR="00895D5D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Przeciętne zatrudnienie: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9931BF">
                          <w:rPr>
                            <w:lang w:val="pl-PL"/>
                          </w:rPr>
                          <w:t>497,5</w:t>
                        </w:r>
                        <w:r w:rsidR="007B76D1">
                          <w:rPr>
                            <w:lang w:val="pl-PL"/>
                          </w:rPr>
                          <w:t xml:space="preserve"> </w:t>
                        </w:r>
                        <w:r w:rsidR="00062A33">
                          <w:rPr>
                            <w:lang w:val="pl-PL"/>
                          </w:rPr>
                          <w:t>tys. osób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Stopa bezrobocia: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000FF5">
                          <w:rPr>
                            <w:lang w:val="pl-PL"/>
                          </w:rPr>
                          <w:t>4,3</w:t>
                        </w:r>
                        <w:r w:rsidR="00062A33">
                          <w:rPr>
                            <w:lang w:val="pl-PL"/>
                          </w:rPr>
                          <w:t>%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 xml:space="preserve">Przeciętne </w:t>
                        </w:r>
                        <w:r w:rsidR="005B432B">
                          <w:rPr>
                            <w:lang w:val="pl-PL"/>
                          </w:rPr>
                          <w:t>miesięczne</w:t>
                        </w:r>
                        <w:r>
                          <w:rPr>
                            <w:lang w:val="pl-PL"/>
                          </w:rPr>
                          <w:t xml:space="preserve"> wynagrodzenie brutto:</w:t>
                        </w:r>
                        <w:r w:rsidR="00062A33">
                          <w:rPr>
                            <w:lang w:val="pl-PL"/>
                          </w:rPr>
                          <w:t xml:space="preserve">  </w:t>
                        </w:r>
                        <w:r w:rsidR="009931BF">
                          <w:rPr>
                            <w:lang w:val="pl-PL"/>
                          </w:rPr>
                          <w:t>7125,26</w:t>
                        </w:r>
                        <w:r w:rsidR="00062A33">
                          <w:rPr>
                            <w:lang w:val="pl-PL"/>
                          </w:rPr>
                          <w:t xml:space="preserve"> zł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Produkcja sprzedana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0B6344">
                          <w:rPr>
                            <w:lang w:val="pl-PL"/>
                          </w:rPr>
                          <w:t>(w cenach stałych</w:t>
                        </w:r>
                        <w:r w:rsidR="00EA3311">
                          <w:rPr>
                            <w:lang w:val="pl-PL"/>
                          </w:rPr>
                          <w:t>):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9931BF">
                          <w:rPr>
                            <w:lang w:val="pl-PL"/>
                          </w:rPr>
                          <w:t>99,2</w:t>
                        </w:r>
                      </w:p>
                      <w:p w:rsidR="008B61B3" w:rsidRDefault="008B61B3" w:rsidP="00482C1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Sprzedaż detaliczna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741209">
                          <w:rPr>
                            <w:lang w:val="pl-PL"/>
                          </w:rPr>
                          <w:t xml:space="preserve"> </w:t>
                        </w:r>
                        <w:r w:rsidR="00482C1B">
                          <w:rPr>
                            <w:lang w:val="pl-PL"/>
                          </w:rPr>
                          <w:t xml:space="preserve">            </w:t>
                        </w:r>
                        <w:r w:rsidR="00741209">
                          <w:rPr>
                            <w:lang w:val="pl-PL"/>
                          </w:rPr>
                          <w:t>(w cenach bieżących</w:t>
                        </w:r>
                        <w:r w:rsidR="009931BF">
                          <w:rPr>
                            <w:lang w:val="pl-PL"/>
                          </w:rPr>
                          <w:t>): 96,8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Podmioty gospodarcze: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7B76D1">
                          <w:rPr>
                            <w:lang w:val="pl-PL"/>
                          </w:rPr>
                          <w:t>421,7</w:t>
                        </w:r>
                        <w:r w:rsidR="003A5FCD">
                          <w:rPr>
                            <w:lang w:val="pl-PL"/>
                          </w:rPr>
                          <w:t xml:space="preserve"> tys.</w:t>
                        </w:r>
                      </w:p>
                      <w:p w:rsidR="00367281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*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>(poprzedni miesią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c =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 xml:space="preserve">  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100)</w:t>
                        </w:r>
                      </w:p>
                      <w:p w:rsidR="00367281" w:rsidRPr="002C4954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Pr="006D4C6F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DA5EDC">
                    <w:trPr>
                      <w:trHeight w:hRule="exact" w:val="288"/>
                    </w:trPr>
                    <w:tc>
                      <w:tcPr>
                        <w:tcW w:w="3518" w:type="dxa"/>
                      </w:tcPr>
                      <w:p w:rsidR="00895D5D" w:rsidRPr="006D4C6F" w:rsidRDefault="00895D5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DA5EDC" w:rsidTr="00E5529B">
                    <w:trPr>
                      <w:trHeight w:hRule="exact" w:val="3312"/>
                    </w:trPr>
                    <w:tc>
                      <w:tcPr>
                        <w:tcW w:w="3518" w:type="dxa"/>
                        <w:vAlign w:val="center"/>
                      </w:tcPr>
                      <w:p w:rsidR="00895D5D" w:rsidRPr="00E5529B" w:rsidRDefault="00895D5D" w:rsidP="00E5529B">
                        <w:pPr>
                          <w:jc w:val="center"/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895D5D" w:rsidRPr="006D4C6F" w:rsidRDefault="00895D5D">
                  <w:pPr>
                    <w:pStyle w:val="podpis"/>
                    <w:rPr>
                      <w:lang w:val="pl-PL"/>
                    </w:rPr>
                  </w:pPr>
                </w:p>
              </w:txbxContent>
            </v:textbox>
            <w10:wrap type="square" anchorx="margin"/>
          </v:shape>
        </w:pict>
      </w:r>
      <w:r w:rsidR="008B61B3" w:rsidRPr="00F173FD">
        <w:rPr>
          <w:rFonts w:ascii="Calibri" w:hAnsi="Calibri"/>
          <w:b/>
          <w:color w:val="auto"/>
          <w:lang w:val="pl-PL"/>
        </w:rPr>
        <w:t>Zatrudnienie</w:t>
      </w:r>
      <w:r w:rsidR="00601604" w:rsidRPr="00F173FD">
        <w:rPr>
          <w:rFonts w:ascii="Calibri" w:hAnsi="Calibri"/>
          <w:b/>
          <w:color w:val="auto"/>
          <w:lang w:val="pl-PL"/>
        </w:rPr>
        <w:t xml:space="preserve">: </w:t>
      </w:r>
    </w:p>
    <w:p w:rsidR="00900B52" w:rsidRPr="00F173FD" w:rsidRDefault="00900B52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6645AC" w:rsidRPr="00F173FD" w:rsidRDefault="006645AC" w:rsidP="00F173FD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F173FD">
        <w:rPr>
          <w:rFonts w:ascii="Calibri" w:hAnsi="Calibri"/>
          <w:b/>
          <w:color w:val="auto"/>
          <w:u w:val="single"/>
          <w:lang w:val="pl-PL"/>
        </w:rPr>
        <w:t>Przeciętne zatrudnienie w sektorze przedsiębiorstw w</w:t>
      </w:r>
      <w:r w:rsidR="009931BF" w:rsidRPr="00F173FD">
        <w:rPr>
          <w:rFonts w:ascii="Calibri" w:hAnsi="Calibri"/>
          <w:b/>
          <w:color w:val="auto"/>
          <w:u w:val="single"/>
          <w:lang w:val="pl-PL"/>
        </w:rPr>
        <w:t xml:space="preserve"> sierpniu</w:t>
      </w:r>
      <w:r w:rsidR="00000FF5" w:rsidRPr="00F173FD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Pr="00F173FD">
        <w:rPr>
          <w:rFonts w:ascii="Calibri" w:hAnsi="Calibri"/>
          <w:b/>
          <w:color w:val="auto"/>
          <w:u w:val="single"/>
          <w:lang w:val="pl-PL"/>
        </w:rPr>
        <w:t>br. było wyższe</w:t>
      </w:r>
      <w:r w:rsidR="009931BF" w:rsidRPr="00F173FD">
        <w:rPr>
          <w:rFonts w:ascii="Calibri" w:hAnsi="Calibri"/>
          <w:b/>
          <w:color w:val="auto"/>
          <w:u w:val="single"/>
          <w:lang w:val="pl-PL"/>
        </w:rPr>
        <w:t xml:space="preserve"> niż przed rokiem o 2,5% (wobec wzrostu o 1,4 % w sierpniu</w:t>
      </w:r>
      <w:r w:rsidRPr="00F173FD">
        <w:rPr>
          <w:rFonts w:ascii="Calibri" w:hAnsi="Calibri"/>
          <w:b/>
          <w:color w:val="auto"/>
          <w:u w:val="single"/>
          <w:lang w:val="pl-PL"/>
        </w:rPr>
        <w:t xml:space="preserve"> 2021 r.). </w:t>
      </w:r>
    </w:p>
    <w:p w:rsidR="006645AC" w:rsidRPr="00F173FD" w:rsidRDefault="006645AC" w:rsidP="00F173FD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9931BF" w:rsidRPr="00F173FD" w:rsidRDefault="009931BF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Wzrost przeciętnego zatrudnienia odnotowano w 10 sekcjach, w tym największy w działalności profesjonalnej, naukowej i technicznej (o 18,9%). W 4 sekcjach zatrudnienie zmniejszyło się, w tym najbardziej w pozostałej działalności usługowej (o 5,0%). </w:t>
      </w:r>
    </w:p>
    <w:p w:rsidR="007B76D1" w:rsidRPr="00F173FD" w:rsidRDefault="007B76D1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9931BF" w:rsidRPr="00F173FD" w:rsidRDefault="009931BF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W kraju przeciętne zatrudnienie w sektorze przedsiębiorstw w skali roku wzrosło o 2,4%.</w:t>
      </w:r>
    </w:p>
    <w:p w:rsidR="00A4013B" w:rsidRPr="00F173FD" w:rsidRDefault="009931BF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W odniesieniu do lipca br. przeciętne zatrudnienie zmniejszyło się o 0,2%. Spadek odnotowano w 7 sekcjach, w tym największy w pozostałej działalności usługowej (o 2,8%). Wzrost wystąpił w 5 sekcjach, w tym największy w transporcie i gospodarce magazynowej (o 0,5%). </w:t>
      </w:r>
    </w:p>
    <w:p w:rsidR="009931BF" w:rsidRPr="00F173FD" w:rsidRDefault="009931BF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6645AC" w:rsidRPr="00F173FD" w:rsidRDefault="008B61B3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Bezrobocie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:rsidR="001A5692" w:rsidRPr="00F173FD" w:rsidRDefault="001A5692" w:rsidP="00F173FD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9931BF" w:rsidRPr="00F173FD" w:rsidRDefault="009931BF" w:rsidP="00F173FD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F173FD">
        <w:rPr>
          <w:rFonts w:ascii="Calibri" w:hAnsi="Calibri"/>
          <w:b/>
          <w:color w:val="auto"/>
          <w:u w:val="single"/>
          <w:lang w:val="pl-PL"/>
        </w:rPr>
        <w:t xml:space="preserve">Stopa bezrobocia rejestrowanego w sierpniu br. wyniosła, podobnie jak w lipcu br., 4,3%. W porównaniu z sierpniem ub. r. było to mniej o 0,9 </w:t>
      </w:r>
      <w:proofErr w:type="spellStart"/>
      <w:r w:rsidRPr="00F173FD">
        <w:rPr>
          <w:rFonts w:ascii="Calibri" w:hAnsi="Calibri"/>
          <w:b/>
          <w:color w:val="auto"/>
          <w:u w:val="single"/>
          <w:lang w:val="pl-PL"/>
        </w:rPr>
        <w:t>p.proc</w:t>
      </w:r>
      <w:proofErr w:type="spellEnd"/>
      <w:r w:rsidRPr="00F173FD">
        <w:rPr>
          <w:rFonts w:ascii="Calibri" w:hAnsi="Calibri"/>
          <w:b/>
          <w:color w:val="auto"/>
          <w:u w:val="single"/>
          <w:lang w:val="pl-PL"/>
        </w:rPr>
        <w:t xml:space="preserve">. </w:t>
      </w:r>
    </w:p>
    <w:p w:rsidR="009931BF" w:rsidRPr="00F173FD" w:rsidRDefault="009931BF" w:rsidP="00F173FD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9931BF" w:rsidRPr="00F173FD" w:rsidRDefault="009931BF" w:rsidP="00F173FD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9931BF" w:rsidRPr="00F173FD" w:rsidRDefault="009931BF" w:rsidP="00F173FD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9931BF" w:rsidRPr="00F173FD" w:rsidRDefault="009931BF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W rankingu województw, dolnośląskie charakteryzowało się relatywnie niską wartością stopy bezrobocia i pod tym względem, wraz z woj. pomorskim, plasowało się na 6. miejscu w kraju</w:t>
      </w:r>
      <w:r w:rsidR="001C0BBC" w:rsidRPr="00F173FD">
        <w:rPr>
          <w:rFonts w:ascii="Calibri" w:hAnsi="Calibri"/>
          <w:color w:val="auto"/>
          <w:lang w:val="pl-PL"/>
        </w:rPr>
        <w:t>.</w:t>
      </w:r>
      <w:r w:rsidRPr="00F173FD">
        <w:rPr>
          <w:rFonts w:ascii="Calibri" w:hAnsi="Calibri"/>
          <w:color w:val="auto"/>
          <w:lang w:val="pl-PL"/>
        </w:rPr>
        <w:t xml:space="preserve"> Najlepsza sytuacja występowała w  woj. wielkopolskim  ze stopą bezrobocia równą 2,7%, a najgorsza w woj. warmińsko-mazurskim z najwyższym wskaźnikiem stopy bezrobocia – 7,6%.</w:t>
      </w:r>
    </w:p>
    <w:p w:rsidR="009931BF" w:rsidRPr="00F173FD" w:rsidRDefault="009931BF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9931BF" w:rsidRPr="00F173FD" w:rsidRDefault="009931BF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Do powiatów o najwyższej stopie bezrobocia nadal należały: złotoryjski (12,1% wobec 12,6% w sierpniu 2021 r.), górowski (11,9% wobec 14,8%), wałbrzyski (11,7% wobec 13,7%), kłodzki (11,1% wobec 11,9%), wołowski (10,3% wobec 11,2%), strzeliński (10,1% wobec 10,9%).</w:t>
      </w:r>
    </w:p>
    <w:p w:rsidR="007B76D1" w:rsidRPr="00F173FD" w:rsidRDefault="007B76D1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9931BF" w:rsidRPr="00F173FD" w:rsidRDefault="001C0BBC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W grupie powiatów o niskiej stopie bezrobocia znalazły się powiaty: wrocławski (1,6% wobec 2,2% w analogicznym miesiącu 2021 r.), bolesławiecki (3,3% wobec 5,1%), lubiński (3,7% wobec 4,2%), oławski (3,8% wobec 4,3%), polkowicki (4,0% wobec 4,5%) oraz miasta na prawach powiatu: Wrocław (1,6% wobec 2,4%), Jelenia Góra (3,3% wobec 4,1%).</w:t>
      </w:r>
    </w:p>
    <w:p w:rsidR="00BD45E6" w:rsidRPr="00F173FD" w:rsidRDefault="00BD45E6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6A61BB" w:rsidRPr="00F173FD" w:rsidRDefault="006A61BB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34739A" w:rsidRPr="00F173FD" w:rsidRDefault="008A2406" w:rsidP="00F173FD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W</w:t>
      </w:r>
      <w:r w:rsidR="008B61B3" w:rsidRPr="00F173FD">
        <w:rPr>
          <w:rFonts w:ascii="Calibri" w:hAnsi="Calibri"/>
          <w:b/>
          <w:color w:val="auto"/>
          <w:lang w:val="pl-PL"/>
        </w:rPr>
        <w:t>ynagrodzenia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:rsidR="001C0BBC" w:rsidRPr="00F173FD" w:rsidRDefault="001C0BBC" w:rsidP="00F173FD">
      <w:pPr>
        <w:spacing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F173FD">
        <w:rPr>
          <w:rFonts w:ascii="Calibri" w:hAnsi="Calibri"/>
          <w:b/>
          <w:color w:val="auto"/>
          <w:u w:val="single"/>
          <w:lang w:val="pl-PL"/>
        </w:rPr>
        <w:t>W sierpniu 2022 r. przeciętne miesięczne wynagrodzenia brutto w sektorze przedsiębiorstw rosły w skali roku wolniej niż przed miesiącem.</w:t>
      </w:r>
    </w:p>
    <w:p w:rsidR="001C0BBC" w:rsidRPr="00F173FD" w:rsidRDefault="001C0BBC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Przeciętne miesięczne wynagrodzenie brutto w sektorze przedsiębiorstw w województwie w sierpniu br. kształtowało się na poziomie 7125,26 zł i było wyższe o 13,3% w relacji do sierpnia poprzedniego roku (w sierpniu 2021 r. zwiększyło się o 12,5% w skali roku).</w:t>
      </w:r>
    </w:p>
    <w:p w:rsidR="00D969B3" w:rsidRPr="00F173FD" w:rsidRDefault="001C0BBC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W kraju przeciętne wynagrodzenie w sierpniu br. wyniosło 6583,03 zł i wzrosło w ciągu roku o 12,7%.</w:t>
      </w:r>
    </w:p>
    <w:p w:rsidR="001C0BBC" w:rsidRPr="001C0BBC" w:rsidRDefault="001C0BBC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1C0BBC" w:rsidRDefault="001C0BBC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D05CE0" w:rsidRPr="00F173FD" w:rsidRDefault="00D05CE0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F173FD">
        <w:rPr>
          <w:rFonts w:ascii="Calibri" w:hAnsi="Calibri"/>
          <w:color w:val="auto"/>
          <w:lang w:val="pl-PL"/>
        </w:rPr>
        <w:br/>
        <w:t>w województwie w</w:t>
      </w:r>
      <w:r w:rsidR="001C0BBC" w:rsidRPr="00F173FD">
        <w:rPr>
          <w:rFonts w:ascii="Calibri" w:hAnsi="Calibri"/>
          <w:color w:val="auto"/>
          <w:lang w:val="pl-PL"/>
        </w:rPr>
        <w:t xml:space="preserve"> sierpniu</w:t>
      </w:r>
      <w:r w:rsidRPr="00F173FD">
        <w:rPr>
          <w:rFonts w:ascii="Calibri" w:hAnsi="Calibri"/>
          <w:color w:val="auto"/>
          <w:lang w:val="pl-PL"/>
        </w:rPr>
        <w:t xml:space="preserve"> 2022 r. odnotowały poszczególne sekcje:</w:t>
      </w:r>
    </w:p>
    <w:p w:rsidR="00D05CE0" w:rsidRPr="00F173FD" w:rsidRDefault="00D05CE0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informacja i komunikacja ( wyższe </w:t>
      </w:r>
      <w:r w:rsidR="001C0BBC" w:rsidRPr="00F173FD">
        <w:rPr>
          <w:rFonts w:ascii="Calibri" w:hAnsi="Calibri"/>
          <w:color w:val="auto"/>
          <w:lang w:val="pl-PL"/>
        </w:rPr>
        <w:t>o 61,6</w:t>
      </w:r>
      <w:r w:rsidRPr="00F173FD">
        <w:rPr>
          <w:rFonts w:ascii="Calibri" w:hAnsi="Calibri"/>
          <w:color w:val="auto"/>
          <w:lang w:val="pl-PL"/>
        </w:rPr>
        <w:t>%),</w:t>
      </w:r>
    </w:p>
    <w:p w:rsidR="00D05CE0" w:rsidRPr="00F173FD" w:rsidRDefault="00D05CE0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profesjonalna, nauk</w:t>
      </w:r>
      <w:r w:rsidR="001C0BBC" w:rsidRPr="00F173FD">
        <w:rPr>
          <w:rFonts w:ascii="Calibri" w:hAnsi="Calibri"/>
          <w:color w:val="auto"/>
          <w:lang w:val="pl-PL"/>
        </w:rPr>
        <w:t>owa i techniczna  (wyższe o 26,3</w:t>
      </w:r>
      <w:r w:rsidR="00D969B3" w:rsidRPr="00F173FD">
        <w:rPr>
          <w:rFonts w:ascii="Calibri" w:hAnsi="Calibri"/>
          <w:color w:val="auto"/>
          <w:lang w:val="pl-PL"/>
        </w:rPr>
        <w:t>%),</w:t>
      </w:r>
    </w:p>
    <w:p w:rsidR="00D05CE0" w:rsidRPr="00F173FD" w:rsidRDefault="00D05CE0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D05CE0" w:rsidRPr="00F173FD" w:rsidRDefault="00D05CE0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Stosunkowo najniższe przeciętne wynagrodzenie brutto i spadek odnotowały sekcje: </w:t>
      </w:r>
    </w:p>
    <w:p w:rsidR="001C0BBC" w:rsidRPr="00F173FD" w:rsidRDefault="001C0BBC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</w:t>
      </w:r>
      <w:proofErr w:type="spellStart"/>
      <w:r w:rsidRPr="00F173FD">
        <w:rPr>
          <w:rFonts w:ascii="Calibri" w:hAnsi="Calibri"/>
          <w:color w:val="auto"/>
          <w:lang w:val="pl-PL"/>
        </w:rPr>
        <w:t>budownictwo</w:t>
      </w:r>
      <w:proofErr w:type="spellEnd"/>
      <w:r w:rsidRPr="00F173FD">
        <w:rPr>
          <w:rFonts w:ascii="Calibri" w:hAnsi="Calibri"/>
          <w:color w:val="auto"/>
          <w:lang w:val="pl-PL"/>
        </w:rPr>
        <w:t xml:space="preserve">  (niższe o 2,0</w:t>
      </w:r>
      <w:r w:rsidR="00F173FD" w:rsidRPr="00F173FD">
        <w:rPr>
          <w:rFonts w:ascii="Calibri" w:hAnsi="Calibri"/>
          <w:color w:val="auto"/>
          <w:lang w:val="pl-PL"/>
        </w:rPr>
        <w:t>%),</w:t>
      </w:r>
    </w:p>
    <w:p w:rsidR="00A979F2" w:rsidRPr="00F173FD" w:rsidRDefault="00A979F2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przet</w:t>
      </w:r>
      <w:r w:rsidR="001C0BBC" w:rsidRPr="00F173FD">
        <w:rPr>
          <w:rFonts w:ascii="Calibri" w:hAnsi="Calibri"/>
          <w:color w:val="auto"/>
          <w:lang w:val="pl-PL"/>
        </w:rPr>
        <w:t>wórstwo przemysłowe  (niższe o 4,9</w:t>
      </w:r>
      <w:r w:rsidRPr="00F173FD">
        <w:rPr>
          <w:rFonts w:ascii="Calibri" w:hAnsi="Calibri"/>
          <w:color w:val="auto"/>
          <w:lang w:val="pl-PL"/>
        </w:rPr>
        <w:t>%),</w:t>
      </w:r>
    </w:p>
    <w:p w:rsidR="00D05CE0" w:rsidRPr="00F173FD" w:rsidRDefault="00D05CE0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handel, naprawa pojazdów samochodowych (niższe o</w:t>
      </w:r>
      <w:r w:rsidR="001C0BBC" w:rsidRPr="00F173FD">
        <w:rPr>
          <w:rFonts w:ascii="Calibri" w:hAnsi="Calibri"/>
          <w:color w:val="auto"/>
          <w:lang w:val="pl-PL"/>
        </w:rPr>
        <w:t xml:space="preserve"> 13,2</w:t>
      </w:r>
      <w:r w:rsidRPr="00F173FD">
        <w:rPr>
          <w:rFonts w:ascii="Calibri" w:hAnsi="Calibri"/>
          <w:color w:val="auto"/>
          <w:lang w:val="pl-PL"/>
        </w:rPr>
        <w:t>%),</w:t>
      </w:r>
    </w:p>
    <w:p w:rsidR="00A979F2" w:rsidRPr="00F173FD" w:rsidRDefault="00A979F2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obsługa rynku </w:t>
      </w:r>
      <w:r w:rsidR="001C0BBC" w:rsidRPr="00F173FD">
        <w:rPr>
          <w:rFonts w:ascii="Calibri" w:hAnsi="Calibri"/>
          <w:color w:val="auto"/>
          <w:lang w:val="pl-PL"/>
        </w:rPr>
        <w:t>nieruchomości (niższe o 16,8</w:t>
      </w:r>
      <w:r w:rsidRPr="00F173FD">
        <w:rPr>
          <w:rFonts w:ascii="Calibri" w:hAnsi="Calibri"/>
          <w:color w:val="auto"/>
          <w:lang w:val="pl-PL"/>
        </w:rPr>
        <w:t>%),</w:t>
      </w:r>
    </w:p>
    <w:p w:rsidR="00A979F2" w:rsidRPr="00F173FD" w:rsidRDefault="00A979F2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transport i gospodarka magazynowa (niższe</w:t>
      </w:r>
      <w:r w:rsidR="001C0BBC" w:rsidRPr="00F173FD">
        <w:rPr>
          <w:rFonts w:ascii="Calibri" w:hAnsi="Calibri"/>
          <w:color w:val="auto"/>
          <w:lang w:val="pl-PL"/>
        </w:rPr>
        <w:t xml:space="preserve"> o 14,2</w:t>
      </w:r>
      <w:r w:rsidRPr="00F173FD">
        <w:rPr>
          <w:rFonts w:ascii="Calibri" w:hAnsi="Calibri"/>
          <w:color w:val="auto"/>
          <w:lang w:val="pl-PL"/>
        </w:rPr>
        <w:t>%),</w:t>
      </w:r>
    </w:p>
    <w:p w:rsidR="00A979F2" w:rsidRPr="00F173FD" w:rsidRDefault="00A979F2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dostawa wody, gospodarowanie ściekami i odpad</w:t>
      </w:r>
      <w:r w:rsidR="001C0BBC" w:rsidRPr="00F173FD">
        <w:rPr>
          <w:rFonts w:ascii="Calibri" w:hAnsi="Calibri"/>
          <w:color w:val="auto"/>
          <w:lang w:val="pl-PL"/>
        </w:rPr>
        <w:t>ami, rekultywacja (niższe o 17,8</w:t>
      </w:r>
      <w:r w:rsidRPr="00F173FD">
        <w:rPr>
          <w:rFonts w:ascii="Calibri" w:hAnsi="Calibri"/>
          <w:color w:val="auto"/>
          <w:lang w:val="pl-PL"/>
        </w:rPr>
        <w:t>%),</w:t>
      </w:r>
    </w:p>
    <w:p w:rsidR="00D05CE0" w:rsidRPr="00F173FD" w:rsidRDefault="00D05CE0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pozostała dzi</w:t>
      </w:r>
      <w:r w:rsidR="001C0BBC" w:rsidRPr="00F173FD">
        <w:rPr>
          <w:rFonts w:ascii="Calibri" w:hAnsi="Calibri"/>
          <w:color w:val="auto"/>
          <w:lang w:val="pl-PL"/>
        </w:rPr>
        <w:t>ałalność usługowa (niższe o 23,7</w:t>
      </w:r>
      <w:r w:rsidRPr="00F173FD">
        <w:rPr>
          <w:rFonts w:ascii="Calibri" w:hAnsi="Calibri"/>
          <w:color w:val="auto"/>
          <w:lang w:val="pl-PL"/>
        </w:rPr>
        <w:t>%),</w:t>
      </w:r>
    </w:p>
    <w:p w:rsidR="00A979F2" w:rsidRPr="00F173FD" w:rsidRDefault="00A979F2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związana z kulturą, roz</w:t>
      </w:r>
      <w:r w:rsidR="00611C83" w:rsidRPr="00F173FD">
        <w:rPr>
          <w:rFonts w:ascii="Calibri" w:hAnsi="Calibri"/>
          <w:color w:val="auto"/>
          <w:lang w:val="pl-PL"/>
        </w:rPr>
        <w:t>rywką i rekreacją (niższe o 25,5</w:t>
      </w:r>
      <w:r w:rsidRPr="00F173FD">
        <w:rPr>
          <w:rFonts w:ascii="Calibri" w:hAnsi="Calibri"/>
          <w:color w:val="auto"/>
          <w:lang w:val="pl-PL"/>
        </w:rPr>
        <w:t>%),</w:t>
      </w:r>
    </w:p>
    <w:p w:rsidR="00A979F2" w:rsidRPr="00F173FD" w:rsidRDefault="00A979F2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administrowanie i działa</w:t>
      </w:r>
      <w:r w:rsidR="00611C83" w:rsidRPr="00F173FD">
        <w:rPr>
          <w:rFonts w:ascii="Calibri" w:hAnsi="Calibri"/>
          <w:color w:val="auto"/>
          <w:lang w:val="pl-PL"/>
        </w:rPr>
        <w:t>lność wspierająca (niższe o 32,7</w:t>
      </w:r>
      <w:r w:rsidRPr="00F173FD">
        <w:rPr>
          <w:rFonts w:ascii="Calibri" w:hAnsi="Calibri"/>
          <w:color w:val="auto"/>
          <w:lang w:val="pl-PL"/>
        </w:rPr>
        <w:t>%),</w:t>
      </w:r>
    </w:p>
    <w:p w:rsidR="00D05CE0" w:rsidRPr="00F173FD" w:rsidRDefault="00D05CE0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zakwaterowa</w:t>
      </w:r>
      <w:r w:rsidR="00611C83" w:rsidRPr="00F173FD">
        <w:rPr>
          <w:rFonts w:ascii="Calibri" w:hAnsi="Calibri"/>
          <w:color w:val="auto"/>
          <w:lang w:val="pl-PL"/>
        </w:rPr>
        <w:t>nie i gastronomia (niższe o 32,2</w:t>
      </w:r>
      <w:r w:rsidR="00A979F2" w:rsidRPr="00F173FD">
        <w:rPr>
          <w:rFonts w:ascii="Calibri" w:hAnsi="Calibri"/>
          <w:color w:val="auto"/>
          <w:lang w:val="pl-PL"/>
        </w:rPr>
        <w:t>%).</w:t>
      </w:r>
    </w:p>
    <w:p w:rsidR="00510540" w:rsidRPr="00F173FD" w:rsidRDefault="00510540" w:rsidP="00F173FD">
      <w:pPr>
        <w:spacing w:line="276" w:lineRule="auto"/>
        <w:jc w:val="both"/>
        <w:rPr>
          <w:rFonts w:ascii="Calibri" w:hAnsi="Calibri"/>
          <w:color w:val="auto"/>
          <w:lang w:val="pl-PL"/>
        </w:rPr>
      </w:pPr>
    </w:p>
    <w:p w:rsidR="00D969B3" w:rsidRPr="00F173FD" w:rsidRDefault="001C0BBC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W relacji do lipca br. przeciętne miesięczne wynagrodzenie brutto ukształtowało się na poziomie wyższym o 2,3%.</w:t>
      </w:r>
    </w:p>
    <w:p w:rsidR="001C0BBC" w:rsidRPr="00F173FD" w:rsidRDefault="001C0BBC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5529B" w:rsidRPr="00F173FD" w:rsidRDefault="008B61B3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Sprzedaż detaliczna</w:t>
      </w:r>
    </w:p>
    <w:p w:rsidR="00636385" w:rsidRPr="00F173FD" w:rsidRDefault="00636385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611C83" w:rsidRPr="00F173FD" w:rsidRDefault="00611C83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Sprzedaż detaliczna zrealizowana przez przedsiębiorstwa handlowe i niehandlowe w sierpniu br. była o 19,1% wyższa niż w sierpniu 2021 r. (kiedy notowano wzrost o 7,2%).</w:t>
      </w:r>
      <w:r w:rsidRPr="00F173FD">
        <w:rPr>
          <w:rFonts w:ascii="Calibri" w:hAnsi="Calibri"/>
          <w:color w:val="auto"/>
          <w:lang w:val="pl-PL"/>
        </w:rPr>
        <w:t xml:space="preserve"> </w:t>
      </w:r>
    </w:p>
    <w:p w:rsidR="00611C83" w:rsidRPr="00F173FD" w:rsidRDefault="00611C83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611C83" w:rsidRPr="00F173FD" w:rsidRDefault="00611C83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W grupie żywność, napoje i wyroby tytoniowe (o udziale wynoszącym 41,5% sprzedaży detalicznej ogółem) sprzedaż była wyższa o 26,1%. Największy wzrost sprzedaży detalicznej odnotowano w grupie pozostała sprzedaż detaliczna w niewyspecjalizowanych sklepach (o 134,3%) o</w:t>
      </w:r>
      <w:r w:rsidR="00F173FD" w:rsidRPr="00F173FD">
        <w:rPr>
          <w:rFonts w:ascii="Calibri" w:hAnsi="Calibri"/>
          <w:color w:val="auto"/>
          <w:lang w:val="pl-PL"/>
        </w:rPr>
        <w:t>raz paliwa stałe, ciekłe i gazo</w:t>
      </w:r>
      <w:r w:rsidRPr="00F173FD">
        <w:rPr>
          <w:rFonts w:ascii="Calibri" w:hAnsi="Calibri"/>
          <w:color w:val="auto"/>
          <w:lang w:val="pl-PL"/>
        </w:rPr>
        <w:t>we (o 96,2%). Największy spadek sprzedaży był w grupie pojazdy samochodowe, motocykle, części (o 21,3%) oraz prasa, książki, pozostała sprzedaż w wyspecjalizowanych sklepach (o 13,0%).</w:t>
      </w:r>
    </w:p>
    <w:p w:rsidR="00611C83" w:rsidRPr="00F173FD" w:rsidRDefault="00611C83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611C83" w:rsidRPr="00F173FD" w:rsidRDefault="00611C83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W porównaniu do lipca br. sprzedaż detaliczna zmniejszyła się o 3,2%. Największy spadek w skali miesiąca odnotowano w grupach pozostała sprzedaż detaliczna w niewyspecjalizowanych sklepach (o 19,0%) oraz pojazdy samochodowe, motocykle, części (o 18,8%). </w:t>
      </w:r>
    </w:p>
    <w:p w:rsidR="00A914C9" w:rsidRPr="00F173FD" w:rsidRDefault="00A914C9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741BE3" w:rsidRPr="00F173FD" w:rsidRDefault="00741BE3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Produkcja sprzedana przemysłu:</w:t>
      </w:r>
    </w:p>
    <w:p w:rsidR="004C6AFF" w:rsidRPr="00F173FD" w:rsidRDefault="004C6AFF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611C83" w:rsidRPr="00F173FD" w:rsidRDefault="00611C83" w:rsidP="00F173FD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F173FD">
        <w:rPr>
          <w:rFonts w:ascii="Calibri" w:hAnsi="Calibri"/>
          <w:b/>
          <w:color w:val="auto"/>
          <w:u w:val="single"/>
          <w:lang w:val="pl-PL"/>
        </w:rPr>
        <w:t>Produkcja sprzedana przemysłu w sierpniu 2022 r. osiągnęła wartość (w cenach bieżących) 18402,0 mln zł i była (w cenach stałych) o 24,4% wyższa niż przed rokiem (wówczas notowano wzrost o 10,8%). Równocześnie w skali roku zanotowano wzrost (w cenach bieżących) produkcji budowlano-montażowej o 20,9% (przed rokiem wystąpił wzrost o 7,7%).</w:t>
      </w:r>
    </w:p>
    <w:p w:rsidR="00611C83" w:rsidRPr="00F173FD" w:rsidRDefault="00611C83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611C83" w:rsidRPr="00F173FD" w:rsidRDefault="00611C83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Produkcja sprzedana w przetwórstwie przemysłowym, stanowiąca 84,3% produkcji pr</w:t>
      </w:r>
      <w:r w:rsidR="00F173FD" w:rsidRPr="00F173FD">
        <w:rPr>
          <w:rFonts w:ascii="Calibri" w:hAnsi="Calibri"/>
          <w:color w:val="auto"/>
          <w:lang w:val="pl-PL"/>
        </w:rPr>
        <w:t xml:space="preserve">zemysłowej ogółem, w porównaniu </w:t>
      </w:r>
      <w:r w:rsidRPr="00F173FD">
        <w:rPr>
          <w:rFonts w:ascii="Calibri" w:hAnsi="Calibri"/>
          <w:color w:val="auto"/>
          <w:lang w:val="pl-PL"/>
        </w:rPr>
        <w:t xml:space="preserve">z sierpniem ub. roku zwiększyła się (w cenach stałych) o 27,6% (wobec 11,7% w sierpniu </w:t>
      </w:r>
      <w:r w:rsidR="007B76D1" w:rsidRPr="00F173FD">
        <w:rPr>
          <w:rFonts w:ascii="Calibri" w:hAnsi="Calibri"/>
          <w:color w:val="auto"/>
          <w:lang w:val="pl-PL"/>
        </w:rPr>
        <w:t>2021 r.). W sekcji dostawa wody,</w:t>
      </w:r>
      <w:r w:rsidRPr="00F173FD">
        <w:rPr>
          <w:rFonts w:ascii="Calibri" w:hAnsi="Calibri"/>
          <w:color w:val="auto"/>
          <w:lang w:val="pl-PL"/>
        </w:rPr>
        <w:t xml:space="preserve"> gosp</w:t>
      </w:r>
      <w:r w:rsidR="007B76D1" w:rsidRPr="00F173FD">
        <w:rPr>
          <w:rFonts w:ascii="Calibri" w:hAnsi="Calibri"/>
          <w:color w:val="auto"/>
          <w:lang w:val="pl-PL"/>
        </w:rPr>
        <w:t xml:space="preserve">odarowanie ściekami i odpadami, </w:t>
      </w:r>
      <w:r w:rsidRPr="00F173FD">
        <w:rPr>
          <w:rFonts w:ascii="Calibri" w:hAnsi="Calibri"/>
          <w:color w:val="auto"/>
          <w:lang w:val="pl-PL"/>
        </w:rPr>
        <w:t>rekultywacja odnotowano wzrost o 1,4% (wobec wzrostu o 18,5% w sierpniu 2021 r.).</w:t>
      </w:r>
    </w:p>
    <w:p w:rsidR="00842BBC" w:rsidRPr="00F173FD" w:rsidRDefault="00842BBC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7B76D1" w:rsidRPr="00F173FD" w:rsidRDefault="007B76D1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Wyższy niż w sierpniu ub. roku poziom produkcji sprzedanej wystąpił w 23 (spośród 31 występujących w województwie) działach przemysłu, w tym m.in. w produkcji: pojazdów samochodowych, przyczep i naczep (o 69,5%), urządzeń elektrycznych (o 53,6%) oraz maszyn i urządzeń  (o 26,1%). </w:t>
      </w:r>
    </w:p>
    <w:p w:rsidR="00842BBC" w:rsidRPr="00F173FD" w:rsidRDefault="007B76D1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W porównaniu z lipcem br. produkcja sprzedana przemysłu zmniejszyła się (w cenach stałych) 0,8% a w przetwórstwie przemysłowym o 0,9%.</w:t>
      </w:r>
    </w:p>
    <w:p w:rsidR="00842BBC" w:rsidRPr="00F173FD" w:rsidRDefault="00842BBC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842BBC" w:rsidRDefault="00842BBC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42BBC" w:rsidRDefault="00842BBC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A914C9" w:rsidRDefault="00A914C9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B61B3" w:rsidRPr="00F173FD" w:rsidRDefault="008B61B3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Podmioty gospodarcze</w:t>
      </w:r>
      <w:r w:rsidR="008B4A13" w:rsidRPr="00F173FD">
        <w:rPr>
          <w:rFonts w:ascii="Calibri" w:hAnsi="Calibri"/>
          <w:b/>
          <w:color w:val="auto"/>
          <w:lang w:val="pl-PL"/>
        </w:rPr>
        <w:t>:</w:t>
      </w:r>
    </w:p>
    <w:p w:rsidR="004C6AFF" w:rsidRPr="00F173FD" w:rsidRDefault="004C6AFF" w:rsidP="00F173FD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A914C9" w:rsidRPr="00F173FD" w:rsidRDefault="007B76D1" w:rsidP="00F173FD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F173FD">
        <w:rPr>
          <w:rFonts w:ascii="Calibri" w:hAnsi="Calibri"/>
          <w:b/>
          <w:color w:val="auto"/>
          <w:u w:val="single"/>
          <w:lang w:val="pl-PL"/>
        </w:rPr>
        <w:t>W sierpniu br. do rejestru REGON wpisano 2930 nowych podmiotów, tj. o 4,2% wi</w:t>
      </w:r>
      <w:r w:rsidR="00F173FD" w:rsidRPr="00F173FD">
        <w:rPr>
          <w:rFonts w:ascii="Calibri" w:hAnsi="Calibri"/>
          <w:b/>
          <w:color w:val="auto"/>
          <w:u w:val="single"/>
          <w:lang w:val="pl-PL"/>
        </w:rPr>
        <w:t xml:space="preserve">ęcej niż w poprzednim miesiącu, </w:t>
      </w:r>
      <w:r w:rsidRPr="00F173FD">
        <w:rPr>
          <w:rFonts w:ascii="Calibri" w:hAnsi="Calibri"/>
          <w:b/>
          <w:color w:val="auto"/>
          <w:u w:val="single"/>
          <w:lang w:val="pl-PL"/>
        </w:rPr>
        <w:t>natomiast z ewidencji wykreślono 1253 podmioty, tj. o 12,9% więcej niż przed mi</w:t>
      </w:r>
      <w:r w:rsidR="00F173FD" w:rsidRPr="00F173FD">
        <w:rPr>
          <w:rFonts w:ascii="Calibri" w:hAnsi="Calibri"/>
          <w:b/>
          <w:color w:val="auto"/>
          <w:u w:val="single"/>
          <w:lang w:val="pl-PL"/>
        </w:rPr>
        <w:t xml:space="preserve">esiącem. Według stanu na koniec </w:t>
      </w:r>
      <w:r w:rsidRPr="00F173FD">
        <w:rPr>
          <w:rFonts w:ascii="Calibri" w:hAnsi="Calibri"/>
          <w:b/>
          <w:color w:val="auto"/>
          <w:u w:val="single"/>
          <w:lang w:val="pl-PL"/>
        </w:rPr>
        <w:t>sierpnia br. w rejestrze REGON 52,9 tys. podmiotów miało zawieszoną działalność (o 1,0% więcej niż przed miesiącem).</w:t>
      </w:r>
    </w:p>
    <w:p w:rsidR="007B76D1" w:rsidRPr="00F173FD" w:rsidRDefault="007B76D1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7B76D1" w:rsidRPr="00F173FD" w:rsidRDefault="007B76D1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Według stanu na koniec sierpnia br. w rejestrze REGON wpisanych było 421,7 tys. podmiotów gospodarki narodowej , tj. o 4,0% więcej niż przed rokiem i o 0,4% więcej niż w końcu lipca br.</w:t>
      </w:r>
    </w:p>
    <w:p w:rsidR="007B76D1" w:rsidRPr="00F173FD" w:rsidRDefault="007B76D1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7B76D1" w:rsidRPr="00F173FD" w:rsidRDefault="007B76D1" w:rsidP="00F173FD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Liczba zarejestrowanych osób fizycznych prowadzących działalność gospodarczą wyniosła 279,3 tys. i w porównaniu z analogicznym okresem ub. roku wzrosła o 4,3%. Do rejestru REGON wpisanych było 79,7 tys. spółek, w tym 52,8 tys. spółek handlowych. Liczba tych podmiotów wzrosła w skali roku odpowiednio o 4,4% i 7,2%.</w:t>
      </w:r>
    </w:p>
    <w:p w:rsidR="00EC6C23" w:rsidRPr="00F173FD" w:rsidRDefault="00EC6C23" w:rsidP="00F173F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107D75" w:rsidRPr="001C481B" w:rsidRDefault="00107D75" w:rsidP="00EC6C2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FE4367" w:rsidRPr="008B4A13" w:rsidRDefault="00FE4367" w:rsidP="00200088">
      <w:pPr>
        <w:spacing w:after="0" w:line="240" w:lineRule="auto"/>
        <w:jc w:val="both"/>
        <w:rPr>
          <w:rFonts w:ascii="Calibri" w:hAnsi="Calibri"/>
          <w:noProof/>
          <w:lang w:val="pl-PL"/>
        </w:rPr>
      </w:pPr>
    </w:p>
    <w:sectPr w:rsidR="00FE4367" w:rsidRPr="008B4A13" w:rsidSect="006D4C6F">
      <w:headerReference w:type="default" r:id="rId11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28E" w:rsidRDefault="003E428E" w:rsidP="00560A80">
      <w:pPr>
        <w:spacing w:after="0" w:line="240" w:lineRule="auto"/>
      </w:pPr>
      <w:r>
        <w:separator/>
      </w:r>
    </w:p>
  </w:endnote>
  <w:endnote w:type="continuationSeparator" w:id="0">
    <w:p w:rsidR="003E428E" w:rsidRDefault="003E428E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28E" w:rsidRDefault="003E428E" w:rsidP="00560A80">
      <w:pPr>
        <w:spacing w:after="0" w:line="240" w:lineRule="auto"/>
      </w:pPr>
      <w:r>
        <w:separator/>
      </w:r>
    </w:p>
  </w:footnote>
  <w:footnote w:type="continuationSeparator" w:id="0">
    <w:p w:rsidR="003E428E" w:rsidRDefault="003E428E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E5529B"/>
    <w:rsid w:val="00000FF5"/>
    <w:rsid w:val="00017F46"/>
    <w:rsid w:val="00062026"/>
    <w:rsid w:val="00062A33"/>
    <w:rsid w:val="00071136"/>
    <w:rsid w:val="0009265F"/>
    <w:rsid w:val="00092C08"/>
    <w:rsid w:val="00093EBF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E719E"/>
    <w:rsid w:val="000E755A"/>
    <w:rsid w:val="000F0FBD"/>
    <w:rsid w:val="000F4FE3"/>
    <w:rsid w:val="001015B8"/>
    <w:rsid w:val="00101904"/>
    <w:rsid w:val="001021E1"/>
    <w:rsid w:val="00107D75"/>
    <w:rsid w:val="001114F2"/>
    <w:rsid w:val="0011507A"/>
    <w:rsid w:val="00131FA2"/>
    <w:rsid w:val="00132EA7"/>
    <w:rsid w:val="001450E1"/>
    <w:rsid w:val="00146D97"/>
    <w:rsid w:val="0015633B"/>
    <w:rsid w:val="00157EC3"/>
    <w:rsid w:val="00171302"/>
    <w:rsid w:val="001719FE"/>
    <w:rsid w:val="00177E9A"/>
    <w:rsid w:val="001817A5"/>
    <w:rsid w:val="001862F0"/>
    <w:rsid w:val="001953DB"/>
    <w:rsid w:val="001A0009"/>
    <w:rsid w:val="001A5692"/>
    <w:rsid w:val="001C0A30"/>
    <w:rsid w:val="001C0BBC"/>
    <w:rsid w:val="001C22BE"/>
    <w:rsid w:val="001C481B"/>
    <w:rsid w:val="001C79FD"/>
    <w:rsid w:val="001C7EA2"/>
    <w:rsid w:val="00200088"/>
    <w:rsid w:val="0020053F"/>
    <w:rsid w:val="00204184"/>
    <w:rsid w:val="0021266A"/>
    <w:rsid w:val="00212701"/>
    <w:rsid w:val="00215055"/>
    <w:rsid w:val="00231494"/>
    <w:rsid w:val="002348F4"/>
    <w:rsid w:val="00253480"/>
    <w:rsid w:val="00253E47"/>
    <w:rsid w:val="00255430"/>
    <w:rsid w:val="00257AC4"/>
    <w:rsid w:val="00262BD7"/>
    <w:rsid w:val="00265E99"/>
    <w:rsid w:val="002666E1"/>
    <w:rsid w:val="002875C3"/>
    <w:rsid w:val="00290DB4"/>
    <w:rsid w:val="00291193"/>
    <w:rsid w:val="00293788"/>
    <w:rsid w:val="002A5E8C"/>
    <w:rsid w:val="002C4820"/>
    <w:rsid w:val="002E09A9"/>
    <w:rsid w:val="002E1402"/>
    <w:rsid w:val="002E30D4"/>
    <w:rsid w:val="002E4233"/>
    <w:rsid w:val="002E698B"/>
    <w:rsid w:val="002F37C0"/>
    <w:rsid w:val="002F37EE"/>
    <w:rsid w:val="00303E19"/>
    <w:rsid w:val="0030529F"/>
    <w:rsid w:val="00305E30"/>
    <w:rsid w:val="00313FE8"/>
    <w:rsid w:val="00323FA9"/>
    <w:rsid w:val="00333E27"/>
    <w:rsid w:val="003341AC"/>
    <w:rsid w:val="0033554E"/>
    <w:rsid w:val="00337CBE"/>
    <w:rsid w:val="0034739A"/>
    <w:rsid w:val="00366F01"/>
    <w:rsid w:val="00367281"/>
    <w:rsid w:val="00384E46"/>
    <w:rsid w:val="00395CEA"/>
    <w:rsid w:val="003A5FCD"/>
    <w:rsid w:val="003B67E2"/>
    <w:rsid w:val="003D3286"/>
    <w:rsid w:val="003D3EF6"/>
    <w:rsid w:val="003E0435"/>
    <w:rsid w:val="003E428E"/>
    <w:rsid w:val="003F3BAD"/>
    <w:rsid w:val="003F6A0C"/>
    <w:rsid w:val="0040033C"/>
    <w:rsid w:val="00401AAB"/>
    <w:rsid w:val="00401F84"/>
    <w:rsid w:val="00402CB1"/>
    <w:rsid w:val="004123B1"/>
    <w:rsid w:val="004229A1"/>
    <w:rsid w:val="00425C94"/>
    <w:rsid w:val="00433771"/>
    <w:rsid w:val="00441A56"/>
    <w:rsid w:val="0044604B"/>
    <w:rsid w:val="00455DF2"/>
    <w:rsid w:val="00462894"/>
    <w:rsid w:val="004657FA"/>
    <w:rsid w:val="00472659"/>
    <w:rsid w:val="00482C1B"/>
    <w:rsid w:val="004A14CD"/>
    <w:rsid w:val="004B15A6"/>
    <w:rsid w:val="004B2BFB"/>
    <w:rsid w:val="004B6C44"/>
    <w:rsid w:val="004C1840"/>
    <w:rsid w:val="004C4CD4"/>
    <w:rsid w:val="004C6AFF"/>
    <w:rsid w:val="004E6E86"/>
    <w:rsid w:val="004F2C81"/>
    <w:rsid w:val="004F5DD9"/>
    <w:rsid w:val="00503190"/>
    <w:rsid w:val="0050771F"/>
    <w:rsid w:val="00510540"/>
    <w:rsid w:val="00511276"/>
    <w:rsid w:val="00534549"/>
    <w:rsid w:val="00535DFB"/>
    <w:rsid w:val="005374C4"/>
    <w:rsid w:val="00540BFD"/>
    <w:rsid w:val="00541E18"/>
    <w:rsid w:val="0054497D"/>
    <w:rsid w:val="00544CC6"/>
    <w:rsid w:val="005578B5"/>
    <w:rsid w:val="00560A80"/>
    <w:rsid w:val="005660A1"/>
    <w:rsid w:val="00573AAE"/>
    <w:rsid w:val="005913D3"/>
    <w:rsid w:val="005942E9"/>
    <w:rsid w:val="005B432B"/>
    <w:rsid w:val="005B49CF"/>
    <w:rsid w:val="005C31F3"/>
    <w:rsid w:val="005D17E1"/>
    <w:rsid w:val="005E674B"/>
    <w:rsid w:val="005F345C"/>
    <w:rsid w:val="00601604"/>
    <w:rsid w:val="00602EB2"/>
    <w:rsid w:val="00603D04"/>
    <w:rsid w:val="006070C0"/>
    <w:rsid w:val="00611C83"/>
    <w:rsid w:val="0062130D"/>
    <w:rsid w:val="00627C70"/>
    <w:rsid w:val="006328A8"/>
    <w:rsid w:val="00636385"/>
    <w:rsid w:val="006410E8"/>
    <w:rsid w:val="006423B1"/>
    <w:rsid w:val="006427FF"/>
    <w:rsid w:val="0064358E"/>
    <w:rsid w:val="006451BD"/>
    <w:rsid w:val="00647C90"/>
    <w:rsid w:val="00655CC1"/>
    <w:rsid w:val="006645AC"/>
    <w:rsid w:val="0067695F"/>
    <w:rsid w:val="006829F2"/>
    <w:rsid w:val="006908DD"/>
    <w:rsid w:val="00694180"/>
    <w:rsid w:val="00697B1B"/>
    <w:rsid w:val="006A2DEA"/>
    <w:rsid w:val="006A61BB"/>
    <w:rsid w:val="006B0612"/>
    <w:rsid w:val="006B6C04"/>
    <w:rsid w:val="006C1354"/>
    <w:rsid w:val="006D31F9"/>
    <w:rsid w:val="006D4C6F"/>
    <w:rsid w:val="006E0067"/>
    <w:rsid w:val="006E4A88"/>
    <w:rsid w:val="006F0963"/>
    <w:rsid w:val="006F0C59"/>
    <w:rsid w:val="006F1A67"/>
    <w:rsid w:val="006F619E"/>
    <w:rsid w:val="007113DA"/>
    <w:rsid w:val="00726B69"/>
    <w:rsid w:val="00735F4E"/>
    <w:rsid w:val="0073705D"/>
    <w:rsid w:val="00741209"/>
    <w:rsid w:val="00741BE3"/>
    <w:rsid w:val="00762A86"/>
    <w:rsid w:val="00764438"/>
    <w:rsid w:val="00764EBA"/>
    <w:rsid w:val="00770525"/>
    <w:rsid w:val="00783427"/>
    <w:rsid w:val="007935DB"/>
    <w:rsid w:val="007A5F19"/>
    <w:rsid w:val="007B35D5"/>
    <w:rsid w:val="007B5033"/>
    <w:rsid w:val="007B6AB6"/>
    <w:rsid w:val="007B76D1"/>
    <w:rsid w:val="007C0412"/>
    <w:rsid w:val="007D2DEC"/>
    <w:rsid w:val="007D333A"/>
    <w:rsid w:val="007D741E"/>
    <w:rsid w:val="007F0FCE"/>
    <w:rsid w:val="007F2036"/>
    <w:rsid w:val="007F2194"/>
    <w:rsid w:val="00803169"/>
    <w:rsid w:val="008155FD"/>
    <w:rsid w:val="008201DC"/>
    <w:rsid w:val="008242C4"/>
    <w:rsid w:val="00833132"/>
    <w:rsid w:val="0083429C"/>
    <w:rsid w:val="00834437"/>
    <w:rsid w:val="00842BBC"/>
    <w:rsid w:val="00855962"/>
    <w:rsid w:val="008632E5"/>
    <w:rsid w:val="00867A72"/>
    <w:rsid w:val="00880F06"/>
    <w:rsid w:val="00881D04"/>
    <w:rsid w:val="008862BC"/>
    <w:rsid w:val="0089059B"/>
    <w:rsid w:val="0089197D"/>
    <w:rsid w:val="00895D5D"/>
    <w:rsid w:val="008A0DA0"/>
    <w:rsid w:val="008A2406"/>
    <w:rsid w:val="008A4D81"/>
    <w:rsid w:val="008A5A8C"/>
    <w:rsid w:val="008A5E63"/>
    <w:rsid w:val="008B0C90"/>
    <w:rsid w:val="008B4A13"/>
    <w:rsid w:val="008B61B3"/>
    <w:rsid w:val="008C2554"/>
    <w:rsid w:val="008C754F"/>
    <w:rsid w:val="008D7528"/>
    <w:rsid w:val="008F4261"/>
    <w:rsid w:val="008F7407"/>
    <w:rsid w:val="00900B52"/>
    <w:rsid w:val="00902DB3"/>
    <w:rsid w:val="009213F7"/>
    <w:rsid w:val="00930311"/>
    <w:rsid w:val="0093670B"/>
    <w:rsid w:val="0094317B"/>
    <w:rsid w:val="0095191C"/>
    <w:rsid w:val="00965053"/>
    <w:rsid w:val="00984704"/>
    <w:rsid w:val="00986F33"/>
    <w:rsid w:val="009931BF"/>
    <w:rsid w:val="00997D80"/>
    <w:rsid w:val="009A5C5A"/>
    <w:rsid w:val="009A7E4F"/>
    <w:rsid w:val="009C2EC5"/>
    <w:rsid w:val="009C3C3B"/>
    <w:rsid w:val="009C702F"/>
    <w:rsid w:val="009D2B9B"/>
    <w:rsid w:val="009E0DF3"/>
    <w:rsid w:val="009E5E34"/>
    <w:rsid w:val="00A043B0"/>
    <w:rsid w:val="00A2668A"/>
    <w:rsid w:val="00A33ACC"/>
    <w:rsid w:val="00A4013B"/>
    <w:rsid w:val="00A47C79"/>
    <w:rsid w:val="00A51CD6"/>
    <w:rsid w:val="00A70C51"/>
    <w:rsid w:val="00A74B28"/>
    <w:rsid w:val="00A77BBE"/>
    <w:rsid w:val="00A914C9"/>
    <w:rsid w:val="00A931B1"/>
    <w:rsid w:val="00A94D27"/>
    <w:rsid w:val="00A96C6E"/>
    <w:rsid w:val="00A979F2"/>
    <w:rsid w:val="00AA05E2"/>
    <w:rsid w:val="00AA654E"/>
    <w:rsid w:val="00AC2C4D"/>
    <w:rsid w:val="00AC5A9E"/>
    <w:rsid w:val="00AE27FB"/>
    <w:rsid w:val="00AE64F3"/>
    <w:rsid w:val="00AF10CE"/>
    <w:rsid w:val="00AF5451"/>
    <w:rsid w:val="00B04D62"/>
    <w:rsid w:val="00B068FE"/>
    <w:rsid w:val="00B11C9A"/>
    <w:rsid w:val="00B1259A"/>
    <w:rsid w:val="00B14AE7"/>
    <w:rsid w:val="00B14F29"/>
    <w:rsid w:val="00B26790"/>
    <w:rsid w:val="00B303F2"/>
    <w:rsid w:val="00B308E5"/>
    <w:rsid w:val="00B403F8"/>
    <w:rsid w:val="00B56DB5"/>
    <w:rsid w:val="00B76D87"/>
    <w:rsid w:val="00B8482B"/>
    <w:rsid w:val="00B923D7"/>
    <w:rsid w:val="00BA4A64"/>
    <w:rsid w:val="00BA797D"/>
    <w:rsid w:val="00BB3D69"/>
    <w:rsid w:val="00BB4C2B"/>
    <w:rsid w:val="00BB62C9"/>
    <w:rsid w:val="00BC436D"/>
    <w:rsid w:val="00BD45E6"/>
    <w:rsid w:val="00BD7C3F"/>
    <w:rsid w:val="00BE53EF"/>
    <w:rsid w:val="00BF440B"/>
    <w:rsid w:val="00BF4CD2"/>
    <w:rsid w:val="00C07B6A"/>
    <w:rsid w:val="00C14C18"/>
    <w:rsid w:val="00C53CA8"/>
    <w:rsid w:val="00C572E6"/>
    <w:rsid w:val="00C602B7"/>
    <w:rsid w:val="00C60501"/>
    <w:rsid w:val="00C61C14"/>
    <w:rsid w:val="00C66ACE"/>
    <w:rsid w:val="00C83C5F"/>
    <w:rsid w:val="00C84047"/>
    <w:rsid w:val="00C843DB"/>
    <w:rsid w:val="00CA13DD"/>
    <w:rsid w:val="00CB3EDB"/>
    <w:rsid w:val="00CC12E2"/>
    <w:rsid w:val="00CC2267"/>
    <w:rsid w:val="00CC55DB"/>
    <w:rsid w:val="00CD2D42"/>
    <w:rsid w:val="00CE2E57"/>
    <w:rsid w:val="00D05CE0"/>
    <w:rsid w:val="00D10DEE"/>
    <w:rsid w:val="00D24AAD"/>
    <w:rsid w:val="00D33DEF"/>
    <w:rsid w:val="00D35B46"/>
    <w:rsid w:val="00D362B5"/>
    <w:rsid w:val="00D40CB6"/>
    <w:rsid w:val="00D46913"/>
    <w:rsid w:val="00D63100"/>
    <w:rsid w:val="00D66A39"/>
    <w:rsid w:val="00D77568"/>
    <w:rsid w:val="00D7765E"/>
    <w:rsid w:val="00D8648A"/>
    <w:rsid w:val="00D969B3"/>
    <w:rsid w:val="00DA1E4E"/>
    <w:rsid w:val="00DA5EDC"/>
    <w:rsid w:val="00DB21A3"/>
    <w:rsid w:val="00DB3C13"/>
    <w:rsid w:val="00DC6A47"/>
    <w:rsid w:val="00DD0C8B"/>
    <w:rsid w:val="00DD5BA8"/>
    <w:rsid w:val="00DE1648"/>
    <w:rsid w:val="00DE22B0"/>
    <w:rsid w:val="00DF2CAE"/>
    <w:rsid w:val="00E04B3A"/>
    <w:rsid w:val="00E06841"/>
    <w:rsid w:val="00E12541"/>
    <w:rsid w:val="00E15FCE"/>
    <w:rsid w:val="00E25861"/>
    <w:rsid w:val="00E320E7"/>
    <w:rsid w:val="00E36938"/>
    <w:rsid w:val="00E4067F"/>
    <w:rsid w:val="00E46091"/>
    <w:rsid w:val="00E5529B"/>
    <w:rsid w:val="00E55A53"/>
    <w:rsid w:val="00E56C1B"/>
    <w:rsid w:val="00E62B56"/>
    <w:rsid w:val="00E7456A"/>
    <w:rsid w:val="00E74CF5"/>
    <w:rsid w:val="00E82C13"/>
    <w:rsid w:val="00E84125"/>
    <w:rsid w:val="00E87B54"/>
    <w:rsid w:val="00EA3311"/>
    <w:rsid w:val="00EA6592"/>
    <w:rsid w:val="00EC21EB"/>
    <w:rsid w:val="00EC30EC"/>
    <w:rsid w:val="00EC5DF3"/>
    <w:rsid w:val="00EC5FB1"/>
    <w:rsid w:val="00EC6C23"/>
    <w:rsid w:val="00ED21B2"/>
    <w:rsid w:val="00ED595F"/>
    <w:rsid w:val="00EE1886"/>
    <w:rsid w:val="00EE2161"/>
    <w:rsid w:val="00F10294"/>
    <w:rsid w:val="00F14965"/>
    <w:rsid w:val="00F1723D"/>
    <w:rsid w:val="00F173FD"/>
    <w:rsid w:val="00F26732"/>
    <w:rsid w:val="00F27152"/>
    <w:rsid w:val="00F377E8"/>
    <w:rsid w:val="00F41C96"/>
    <w:rsid w:val="00F60C9F"/>
    <w:rsid w:val="00F63BC3"/>
    <w:rsid w:val="00F66B3B"/>
    <w:rsid w:val="00F66CB8"/>
    <w:rsid w:val="00F70A38"/>
    <w:rsid w:val="00F86A9B"/>
    <w:rsid w:val="00F9163C"/>
    <w:rsid w:val="00FB23AC"/>
    <w:rsid w:val="00FB25E5"/>
    <w:rsid w:val="00FB2FA4"/>
    <w:rsid w:val="00FB7E9A"/>
    <w:rsid w:val="00FE04AB"/>
    <w:rsid w:val="00FE4367"/>
    <w:rsid w:val="00FF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Biuletyn.dotx</Template>
  <TotalTime>6</TotalTime>
  <Pages>3</Pages>
  <Words>924</Words>
  <Characters>5546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Szwaja</dc:creator>
  <cp:lastModifiedBy>Your User Name</cp:lastModifiedBy>
  <cp:revision>2</cp:revision>
  <cp:lastPrinted>2022-09-28T09:18:00Z</cp:lastPrinted>
  <dcterms:created xsi:type="dcterms:W3CDTF">2022-09-28T12:34:00Z</dcterms:created>
  <dcterms:modified xsi:type="dcterms:W3CDTF">2022-09-28T12:34:00Z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